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C6" w:rsidRDefault="007344AD" w:rsidP="00260192">
      <w:pPr>
        <w:kinsoku w:val="0"/>
        <w:autoSpaceDE w:val="0"/>
        <w:autoSpaceDN w:val="0"/>
        <w:snapToGrid w:val="0"/>
        <w:spacing w:afterLines="40" w:after="144" w:line="520" w:lineRule="exact"/>
        <w:jc w:val="center"/>
        <w:textAlignment w:val="baseline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4719C6">
        <w:rPr>
          <w:rFonts w:ascii="標楷體" w:eastAsia="標楷體" w:hAnsi="標楷體" w:hint="eastAsia"/>
          <w:b/>
          <w:sz w:val="44"/>
          <w:szCs w:val="44"/>
        </w:rPr>
        <w:t>10</w:t>
      </w:r>
      <w:r w:rsidR="00311F57">
        <w:rPr>
          <w:rFonts w:ascii="標楷體" w:eastAsia="標楷體" w:hAnsi="標楷體" w:hint="eastAsia"/>
          <w:b/>
          <w:sz w:val="44"/>
          <w:szCs w:val="44"/>
        </w:rPr>
        <w:t>9</w:t>
      </w:r>
      <w:r w:rsidRPr="004719C6">
        <w:rPr>
          <w:rFonts w:ascii="標楷體" w:eastAsia="標楷體" w:hAnsi="標楷體" w:hint="eastAsia"/>
          <w:b/>
          <w:sz w:val="44"/>
          <w:szCs w:val="44"/>
        </w:rPr>
        <w:t>年</w:t>
      </w:r>
      <w:r w:rsidR="00F57596" w:rsidRPr="004719C6">
        <w:rPr>
          <w:rFonts w:ascii="標楷體" w:eastAsia="標楷體" w:hAnsi="標楷體" w:hint="eastAsia"/>
          <w:b/>
          <w:sz w:val="44"/>
          <w:szCs w:val="44"/>
        </w:rPr>
        <w:t>國立屏東科技大學休閒運動健康系</w:t>
      </w:r>
    </w:p>
    <w:p w:rsidR="007844E0" w:rsidRPr="004719C6" w:rsidRDefault="007844E0" w:rsidP="00260192">
      <w:pPr>
        <w:kinsoku w:val="0"/>
        <w:autoSpaceDE w:val="0"/>
        <w:autoSpaceDN w:val="0"/>
        <w:snapToGrid w:val="0"/>
        <w:spacing w:afterLines="40" w:after="144" w:line="520" w:lineRule="exact"/>
        <w:jc w:val="center"/>
        <w:textAlignment w:val="baseline"/>
        <w:rPr>
          <w:rFonts w:ascii="標楷體" w:eastAsia="標楷體" w:hAnsi="標楷體"/>
          <w:b/>
          <w:sz w:val="44"/>
          <w:szCs w:val="44"/>
        </w:rPr>
      </w:pPr>
      <w:r w:rsidRPr="004719C6">
        <w:rPr>
          <w:rFonts w:ascii="標楷體" w:eastAsia="標楷體" w:hAnsi="標楷體" w:hint="eastAsia"/>
          <w:b/>
          <w:sz w:val="44"/>
          <w:szCs w:val="44"/>
        </w:rPr>
        <w:t>初級救護技術員(EMT-1)</w:t>
      </w:r>
      <w:r w:rsidR="007344AD" w:rsidRPr="004719C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訓</w:t>
      </w:r>
      <w:r w:rsidR="00D62A07" w:rsidRPr="004719C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練</w:t>
      </w:r>
      <w:r w:rsidR="007344AD" w:rsidRPr="004719C6">
        <w:rPr>
          <w:rFonts w:ascii="標楷體" w:eastAsia="標楷體" w:hAnsi="標楷體" w:hint="eastAsia"/>
          <w:b/>
          <w:sz w:val="44"/>
          <w:szCs w:val="44"/>
        </w:rPr>
        <w:t>推廣</w:t>
      </w:r>
      <w:r w:rsidRPr="004719C6">
        <w:rPr>
          <w:rFonts w:ascii="標楷體" w:eastAsia="標楷體" w:hAnsi="標楷體" w:hint="eastAsia"/>
          <w:b/>
          <w:sz w:val="44"/>
          <w:szCs w:val="44"/>
        </w:rPr>
        <w:t>計畫</w:t>
      </w:r>
    </w:p>
    <w:p w:rsidR="007844E0" w:rsidRPr="00A06057" w:rsidRDefault="007844E0" w:rsidP="00A06057">
      <w:pPr>
        <w:spacing w:line="500" w:lineRule="exact"/>
        <w:ind w:leftChars="58" w:left="700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A06057">
        <w:rPr>
          <w:rFonts w:ascii="標楷體" w:eastAsia="標楷體" w:hAnsi="標楷體" w:hint="eastAsia"/>
          <w:b/>
          <w:color w:val="000000"/>
          <w:sz w:val="28"/>
          <w:szCs w:val="28"/>
        </w:rPr>
        <w:t>壹、依據：</w:t>
      </w:r>
    </w:p>
    <w:p w:rsidR="007844E0" w:rsidRDefault="007844E0" w:rsidP="00311F57">
      <w:pPr>
        <w:spacing w:line="500" w:lineRule="exact"/>
        <w:ind w:leftChars="292" w:left="701"/>
        <w:rPr>
          <w:rFonts w:ascii="標楷體" w:eastAsia="標楷體" w:hAnsi="標楷體"/>
          <w:color w:val="000000"/>
          <w:sz w:val="28"/>
          <w:szCs w:val="28"/>
        </w:rPr>
      </w:pPr>
      <w:r w:rsidRPr="002C0834">
        <w:rPr>
          <w:rFonts w:ascii="標楷體" w:eastAsia="標楷體" w:hAnsi="標楷體" w:hint="eastAsia"/>
          <w:color w:val="000000"/>
          <w:sz w:val="28"/>
          <w:szCs w:val="28"/>
        </w:rPr>
        <w:t>行政院衛生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福利部</w:t>
      </w:r>
      <w:r w:rsidRPr="002C0834">
        <w:rPr>
          <w:rFonts w:ascii="標楷體" w:eastAsia="標楷體" w:hAnsi="標楷體" w:hint="eastAsia"/>
          <w:color w:val="000000"/>
          <w:sz w:val="28"/>
          <w:szCs w:val="28"/>
        </w:rPr>
        <w:t>97年7月29日衛署醫字第0970214520號令發布「救護技術員管理辦法」。</w:t>
      </w:r>
    </w:p>
    <w:p w:rsidR="007844E0" w:rsidRPr="00A06057" w:rsidRDefault="007844E0" w:rsidP="00260192">
      <w:pPr>
        <w:spacing w:beforeLines="50" w:before="180" w:afterLines="50" w:after="180" w:line="500" w:lineRule="exact"/>
        <w:ind w:leftChars="58" w:left="700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A06057">
        <w:rPr>
          <w:rFonts w:ascii="標楷體" w:eastAsia="標楷體" w:hAnsi="標楷體" w:hint="eastAsia"/>
          <w:b/>
          <w:color w:val="000000"/>
          <w:sz w:val="28"/>
          <w:szCs w:val="28"/>
        </w:rPr>
        <w:t>貳、目的：</w:t>
      </w:r>
    </w:p>
    <w:p w:rsidR="00DF675B" w:rsidRDefault="00DF675B" w:rsidP="00DF675B">
      <w:pPr>
        <w:snapToGrid w:val="0"/>
        <w:spacing w:line="360" w:lineRule="auto"/>
        <w:ind w:left="70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一、八仙氣爆事件造成許多青年學子受傷，更突顯第一線到院前救護的重要性，</w:t>
      </w:r>
      <w:r w:rsidRPr="003D03D3">
        <w:rPr>
          <w:rFonts w:ascii="標楷體" w:eastAsia="標楷體" w:hAnsi="標楷體"/>
          <w:color w:val="000000"/>
          <w:sz w:val="28"/>
          <w:szCs w:val="28"/>
        </w:rPr>
        <w:t>為推</w:t>
      </w:r>
      <w:r>
        <w:rPr>
          <w:rFonts w:ascii="標楷體" w:eastAsia="標楷體" w:hAnsi="標楷體" w:hint="eastAsia"/>
          <w:color w:val="000000"/>
          <w:sz w:val="28"/>
          <w:szCs w:val="28"/>
        </w:rPr>
        <w:t>廣</w:t>
      </w:r>
      <w:r w:rsidRPr="003D03D3">
        <w:rPr>
          <w:rFonts w:ascii="標楷體" w:eastAsia="標楷體" w:hAnsi="標楷體"/>
          <w:color w:val="000000"/>
          <w:sz w:val="28"/>
          <w:szCs w:val="28"/>
        </w:rPr>
        <w:t>緊急醫療救護訓練，協助</w:t>
      </w:r>
      <w:r w:rsidRPr="00AC2560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>
        <w:rPr>
          <w:rFonts w:ascii="標楷體" w:eastAsia="標楷體" w:hAnsi="標楷體" w:hint="eastAsia"/>
          <w:color w:val="000000"/>
          <w:sz w:val="28"/>
          <w:szCs w:val="28"/>
        </w:rPr>
        <w:t>專院校相關科系學生具備</w:t>
      </w:r>
      <w:r w:rsidRPr="003D03D3">
        <w:rPr>
          <w:rFonts w:ascii="標楷體" w:eastAsia="標楷體" w:hAnsi="標楷體"/>
          <w:color w:val="000000"/>
          <w:sz w:val="28"/>
          <w:szCs w:val="28"/>
        </w:rPr>
        <w:t>到院前或轉院之傷病患服務強化救護技能，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鼓勵學生參與社會服務，協助並推廣緊急災難與急救處理，並取得此專業技能證照，提升學生未來在職場就業力與競爭力。</w:t>
      </w:r>
    </w:p>
    <w:p w:rsidR="00DF675B" w:rsidRDefault="00DF675B" w:rsidP="00DF675B">
      <w:pPr>
        <w:snapToGrid w:val="0"/>
        <w:spacing w:line="360" w:lineRule="auto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D77210">
        <w:rPr>
          <w:rFonts w:ascii="標楷體" w:eastAsia="標楷體" w:hAnsi="標楷體" w:hint="eastAsia"/>
          <w:sz w:val="28"/>
          <w:szCs w:val="28"/>
        </w:rPr>
        <w:t>擬藉由</w:t>
      </w:r>
      <w:r w:rsidRPr="00D77210">
        <w:rPr>
          <w:rFonts w:ascii="標楷體" w:eastAsia="標楷體" w:hAnsi="標楷體"/>
          <w:sz w:val="28"/>
          <w:szCs w:val="28"/>
        </w:rPr>
        <w:t>實</w:t>
      </w:r>
      <w:r w:rsidRPr="00D77210">
        <w:rPr>
          <w:rFonts w:ascii="標楷體" w:eastAsia="標楷體" w:hAnsi="標楷體" w:hint="eastAsia"/>
          <w:sz w:val="28"/>
          <w:szCs w:val="28"/>
        </w:rPr>
        <w:t>務救護案例模擬操演過程中，讓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D77210">
        <w:rPr>
          <w:rFonts w:ascii="標楷體" w:eastAsia="標楷體" w:hAnsi="標楷體"/>
          <w:sz w:val="28"/>
          <w:szCs w:val="28"/>
        </w:rPr>
        <w:t>體驗日常生活</w:t>
      </w:r>
      <w:r w:rsidRPr="00D77210">
        <w:rPr>
          <w:rFonts w:ascii="標楷體" w:eastAsia="標楷體" w:hAnsi="標楷體" w:hint="eastAsia"/>
          <w:sz w:val="28"/>
          <w:szCs w:val="28"/>
        </w:rPr>
        <w:t>中各類突發狀況，掌握黃金救援時效，培養事故現場應變處置決斷能力。期能建立</w:t>
      </w:r>
      <w:r>
        <w:rPr>
          <w:rFonts w:ascii="標楷體" w:eastAsia="標楷體" w:hAnsi="標楷體" w:hint="eastAsia"/>
          <w:sz w:val="28"/>
          <w:szCs w:val="28"/>
        </w:rPr>
        <w:t>校園</w:t>
      </w:r>
      <w:r w:rsidRPr="00D77210">
        <w:rPr>
          <w:rFonts w:ascii="標楷體" w:eastAsia="標楷體" w:hAnsi="標楷體" w:hint="eastAsia"/>
          <w:sz w:val="28"/>
          <w:szCs w:val="28"/>
        </w:rPr>
        <w:t>緊急救護團隊，除因應各項災變，挽救寶貴生命外；並可提供各類大型活動及社會服務之急難救護需求以達到</w:t>
      </w:r>
      <w:r w:rsidRPr="00D77210">
        <w:rPr>
          <w:rFonts w:ascii="標楷體" w:eastAsia="標楷體" w:hAnsi="標楷體"/>
          <w:sz w:val="28"/>
          <w:szCs w:val="28"/>
        </w:rPr>
        <w:t>此學習之最終目的。</w:t>
      </w:r>
    </w:p>
    <w:p w:rsidR="007844E0" w:rsidRPr="00A06057" w:rsidRDefault="007844E0" w:rsidP="00DF675B">
      <w:pPr>
        <w:snapToGrid w:val="0"/>
        <w:spacing w:line="360" w:lineRule="auto"/>
        <w:ind w:left="701" w:hangingChars="250" w:hanging="70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A06057">
        <w:rPr>
          <w:rFonts w:ascii="標楷體" w:eastAsia="標楷體" w:hAnsi="標楷體" w:hint="eastAsia"/>
          <w:b/>
          <w:color w:val="000000"/>
          <w:sz w:val="28"/>
          <w:szCs w:val="28"/>
        </w:rPr>
        <w:t>參、合作單位：</w:t>
      </w:r>
    </w:p>
    <w:p w:rsidR="007844E0" w:rsidRPr="002C0834" w:rsidRDefault="007844E0" w:rsidP="007844E0">
      <w:pPr>
        <w:spacing w:line="500" w:lineRule="exact"/>
        <w:ind w:leftChars="58" w:left="69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C0834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主辦</w:t>
      </w:r>
      <w:r w:rsidRPr="002C0834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  <w:r w:rsidR="00EF7406">
        <w:rPr>
          <w:rFonts w:ascii="標楷體" w:eastAsia="標楷體" w:hAnsi="標楷體" w:hint="eastAsia"/>
          <w:sz w:val="28"/>
          <w:szCs w:val="28"/>
        </w:rPr>
        <w:t>安泰醫療社團法人安泰醫院</w:t>
      </w:r>
      <w:r w:rsidR="00DF675B">
        <w:rPr>
          <w:rFonts w:ascii="標楷體" w:eastAsia="標楷體" w:hAnsi="標楷體" w:hint="eastAsia"/>
          <w:sz w:val="28"/>
          <w:szCs w:val="28"/>
        </w:rPr>
        <w:t>、</w:t>
      </w:r>
      <w:r w:rsidR="00DF323F">
        <w:rPr>
          <w:rFonts w:ascii="標楷體" w:eastAsia="標楷體" w:hAnsi="標楷體" w:hint="eastAsia"/>
          <w:color w:val="000000"/>
          <w:sz w:val="28"/>
          <w:szCs w:val="28"/>
        </w:rPr>
        <w:t>國立屏東科技大學</w:t>
      </w:r>
    </w:p>
    <w:p w:rsidR="007844E0" w:rsidRDefault="007844E0" w:rsidP="007844E0">
      <w:pPr>
        <w:spacing w:line="500" w:lineRule="exact"/>
        <w:ind w:leftChars="58" w:left="69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C0834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2C0834">
        <w:rPr>
          <w:rFonts w:ascii="標楷體" w:eastAsia="標楷體" w:hAnsi="標楷體" w:hint="eastAsia"/>
          <w:color w:val="000000"/>
          <w:sz w:val="28"/>
          <w:szCs w:val="28"/>
        </w:rPr>
        <w:t>辨單位：</w:t>
      </w:r>
      <w:r w:rsidR="00DF323F">
        <w:rPr>
          <w:rFonts w:ascii="標楷體" w:eastAsia="標楷體" w:hAnsi="標楷體" w:hint="eastAsia"/>
          <w:color w:val="000000"/>
          <w:sz w:val="28"/>
          <w:szCs w:val="28"/>
        </w:rPr>
        <w:t>國立屏東科技大學</w:t>
      </w:r>
      <w:r w:rsidR="00DF323F" w:rsidRPr="00DE6575">
        <w:rPr>
          <w:rFonts w:ascii="標楷體" w:eastAsia="標楷體" w:hAnsi="標楷體" w:hint="eastAsia"/>
          <w:color w:val="000000"/>
          <w:sz w:val="28"/>
          <w:szCs w:val="28"/>
        </w:rPr>
        <w:t>休閒運動健康系</w:t>
      </w:r>
    </w:p>
    <w:p w:rsidR="007844E0" w:rsidRPr="00A06057" w:rsidRDefault="007844E0" w:rsidP="008B1CF1">
      <w:pPr>
        <w:spacing w:beforeLines="50"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06057">
        <w:rPr>
          <w:rFonts w:ascii="標楷體" w:eastAsia="標楷體" w:hAnsi="標楷體" w:hint="eastAsia"/>
          <w:b/>
          <w:color w:val="000000"/>
          <w:sz w:val="28"/>
          <w:szCs w:val="28"/>
        </w:rPr>
        <w:t>肆、課程介紹：</w:t>
      </w:r>
    </w:p>
    <w:p w:rsidR="007844E0" w:rsidRPr="00C10ADF" w:rsidRDefault="007844E0" w:rsidP="007844E0">
      <w:pPr>
        <w:spacing w:line="500" w:lineRule="exact"/>
        <w:ind w:leftChars="58" w:left="69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一、課程日期：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9/11/21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11/22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（日）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11/29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（日）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12/12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（六）、12/13</w:t>
      </w:r>
      <w:r w:rsidR="00A32987" w:rsidRPr="00EF740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（日）</w:t>
      </w:r>
      <w:r w:rsidR="00A32987" w:rsidRPr="00C10ADF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A32987">
        <w:rPr>
          <w:rFonts w:ascii="標楷體" w:eastAsia="標楷體" w:hAnsi="標楷體" w:hint="eastAsia"/>
          <w:color w:val="000000"/>
          <w:sz w:val="28"/>
          <w:szCs w:val="28"/>
        </w:rPr>
        <w:t>5天</w:t>
      </w:r>
    </w:p>
    <w:p w:rsidR="007844E0" w:rsidRDefault="007844E0" w:rsidP="007844E0">
      <w:pPr>
        <w:spacing w:line="500" w:lineRule="exact"/>
        <w:ind w:leftChars="58" w:left="699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C10ADF">
        <w:rPr>
          <w:rFonts w:ascii="標楷體" w:eastAsia="標楷體" w:hAnsi="標楷體" w:hint="eastAsia"/>
          <w:color w:val="000000"/>
          <w:sz w:val="28"/>
          <w:szCs w:val="28"/>
        </w:rPr>
        <w:t>二、訓練時數：</w:t>
      </w:r>
      <w:r w:rsidR="00EF7406" w:rsidRPr="001F49C4">
        <w:rPr>
          <w:rFonts w:ascii="標楷體" w:eastAsia="標楷體" w:hAnsi="標楷體"/>
          <w:bCs/>
          <w:color w:val="000000"/>
          <w:sz w:val="28"/>
          <w:szCs w:val="28"/>
        </w:rPr>
        <w:t>本課程為期</w:t>
      </w:r>
      <w:r w:rsidR="00682437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EF7406" w:rsidRPr="001F49C4">
        <w:rPr>
          <w:rFonts w:ascii="標楷體" w:eastAsia="標楷體" w:hAnsi="標楷體"/>
          <w:bCs/>
          <w:color w:val="000000"/>
          <w:sz w:val="28"/>
          <w:szCs w:val="28"/>
        </w:rPr>
        <w:t>天共</w:t>
      </w:r>
      <w:r w:rsidR="00EF7406">
        <w:rPr>
          <w:rFonts w:ascii="標楷體" w:eastAsia="標楷體" w:hAnsi="標楷體" w:hint="eastAsia"/>
          <w:bCs/>
          <w:color w:val="000000"/>
          <w:sz w:val="28"/>
          <w:szCs w:val="28"/>
        </w:rPr>
        <w:t>40小時</w:t>
      </w:r>
      <w:r w:rsidR="00EF7406" w:rsidRPr="001F49C4">
        <w:rPr>
          <w:rFonts w:ascii="標楷體" w:eastAsia="標楷體" w:hAnsi="標楷體"/>
          <w:bCs/>
          <w:color w:val="000000"/>
          <w:sz w:val="28"/>
          <w:szCs w:val="28"/>
        </w:rPr>
        <w:t>課程依照衛生</w:t>
      </w:r>
      <w:r w:rsidR="00D62A07" w:rsidRPr="009D3FB1">
        <w:rPr>
          <w:rFonts w:ascii="標楷體" w:eastAsia="標楷體" w:hAnsi="標楷體" w:hint="eastAsia"/>
          <w:bCs/>
          <w:color w:val="000000"/>
          <w:sz w:val="28"/>
          <w:szCs w:val="28"/>
        </w:rPr>
        <w:t>福利部</w:t>
      </w:r>
      <w:r w:rsidR="00EF7406" w:rsidRPr="001F49C4">
        <w:rPr>
          <w:rFonts w:ascii="標楷體" w:eastAsia="標楷體" w:hAnsi="標楷體"/>
          <w:bCs/>
          <w:color w:val="000000"/>
          <w:sz w:val="28"/>
          <w:szCs w:val="28"/>
        </w:rPr>
        <w:t>制訂之『救護技術員管理辦法』安排初級救護技術員</w:t>
      </w:r>
      <w:r w:rsidR="00EF7406">
        <w:rPr>
          <w:rFonts w:ascii="標楷體" w:eastAsia="標楷體" w:hAnsi="標楷體" w:hint="eastAsia"/>
          <w:bCs/>
          <w:color w:val="000000"/>
          <w:sz w:val="28"/>
          <w:szCs w:val="28"/>
        </w:rPr>
        <w:t>訓練</w:t>
      </w:r>
      <w:r w:rsidR="00EF7406" w:rsidRPr="001F49C4">
        <w:rPr>
          <w:rFonts w:ascii="標楷體" w:eastAsia="標楷體" w:hAnsi="標楷體"/>
          <w:bCs/>
          <w:color w:val="000000"/>
          <w:sz w:val="28"/>
          <w:szCs w:val="28"/>
        </w:rPr>
        <w:t>課程。</w:t>
      </w:r>
    </w:p>
    <w:p w:rsidR="00D24ACD" w:rsidRPr="00D43775" w:rsidRDefault="00D24ACD" w:rsidP="00D24ACD">
      <w:pPr>
        <w:spacing w:line="520" w:lineRule="exact"/>
        <w:ind w:rightChars="100" w:right="240"/>
        <w:rPr>
          <w:rFonts w:ascii="標楷體" w:eastAsia="標楷體" w:hAnsi="標楷體"/>
          <w:color w:val="000000"/>
          <w:sz w:val="28"/>
          <w:szCs w:val="28"/>
        </w:rPr>
      </w:pPr>
      <w:r w:rsidRPr="00D43775">
        <w:rPr>
          <w:rFonts w:ascii="標楷體" w:eastAsia="標楷體" w:hAnsi="標楷體" w:hint="eastAsia"/>
          <w:color w:val="000000"/>
          <w:sz w:val="28"/>
          <w:szCs w:val="28"/>
        </w:rPr>
        <w:t>三、授課教師：</w:t>
      </w:r>
    </w:p>
    <w:p w:rsidR="00D24ACD" w:rsidRPr="00D43775" w:rsidRDefault="00D24ACD" w:rsidP="00D24ACD">
      <w:pPr>
        <w:spacing w:line="520" w:lineRule="exact"/>
        <w:ind w:leftChars="115" w:left="696" w:rightChars="100" w:right="24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F9439A">
        <w:rPr>
          <w:rFonts w:eastAsia="標楷體"/>
          <w:sz w:val="28"/>
          <w:szCs w:val="28"/>
        </w:rPr>
        <w:t>(</w:t>
      </w:r>
      <w:r w:rsidRPr="00F9439A">
        <w:rPr>
          <w:rFonts w:eastAsia="標楷體" w:hAnsi="標楷體"/>
          <w:sz w:val="28"/>
          <w:szCs w:val="28"/>
        </w:rPr>
        <w:t>一</w:t>
      </w:r>
      <w:r w:rsidRPr="00F9439A">
        <w:rPr>
          <w:rFonts w:eastAsia="標楷體"/>
          <w:sz w:val="28"/>
          <w:szCs w:val="28"/>
        </w:rPr>
        <w:t>)</w:t>
      </w:r>
      <w:r w:rsidRPr="00D43775">
        <w:rPr>
          <w:rFonts w:ascii="標楷體" w:eastAsia="標楷體" w:hAnsi="標楷體" w:hint="eastAsia"/>
          <w:color w:val="000000"/>
          <w:sz w:val="28"/>
          <w:szCs w:val="28"/>
        </w:rPr>
        <w:t>依救護技術員管理辦法第八條規定，聘請實際從事緊急醫療救護工作三年以上之護理師、高級、中級救護員擔任本訓練課程之授課教師。</w:t>
      </w:r>
    </w:p>
    <w:p w:rsidR="00D24ACD" w:rsidRPr="00C10ADF" w:rsidRDefault="00D24ACD" w:rsidP="00682437">
      <w:pPr>
        <w:tabs>
          <w:tab w:val="left" w:pos="851"/>
        </w:tabs>
        <w:spacing w:line="500" w:lineRule="exact"/>
        <w:ind w:leftChars="115" w:left="69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F9439A">
        <w:rPr>
          <w:rFonts w:eastAsia="標楷體"/>
          <w:sz w:val="28"/>
          <w:szCs w:val="28"/>
        </w:rPr>
        <w:lastRenderedPageBreak/>
        <w:t>(</w:t>
      </w:r>
      <w:r>
        <w:rPr>
          <w:rFonts w:eastAsia="標楷體" w:hAnsi="標楷體" w:hint="eastAsia"/>
          <w:sz w:val="28"/>
          <w:szCs w:val="28"/>
        </w:rPr>
        <w:t>二</w:t>
      </w:r>
      <w:r w:rsidRPr="00F9439A">
        <w:rPr>
          <w:rFonts w:eastAsia="標楷體"/>
          <w:sz w:val="28"/>
          <w:szCs w:val="28"/>
        </w:rPr>
        <w:t>)</w:t>
      </w:r>
      <w:r w:rsidRPr="00D43775">
        <w:rPr>
          <w:rFonts w:ascii="標楷體" w:eastAsia="標楷體" w:hAnsi="標楷體" w:hint="eastAsia"/>
          <w:color w:val="000000"/>
          <w:sz w:val="28"/>
          <w:szCs w:val="28"/>
        </w:rPr>
        <w:t>參照急救訓練課程規定，講師</w:t>
      </w:r>
      <w:r w:rsidRPr="00D43775">
        <w:rPr>
          <w:rFonts w:ascii="標楷體" w:eastAsia="標楷體" w:hAnsi="標楷體"/>
          <w:color w:val="000000"/>
          <w:sz w:val="28"/>
          <w:szCs w:val="28"/>
        </w:rPr>
        <w:t>(</w:t>
      </w:r>
      <w:r w:rsidRPr="00D43775">
        <w:rPr>
          <w:rFonts w:ascii="標楷體" w:eastAsia="標楷體" w:hAnsi="標楷體" w:hint="eastAsia"/>
          <w:color w:val="000000"/>
          <w:sz w:val="28"/>
          <w:szCs w:val="28"/>
        </w:rPr>
        <w:t>含助教</w:t>
      </w:r>
      <w:r w:rsidRPr="00D43775">
        <w:rPr>
          <w:rFonts w:ascii="標楷體" w:eastAsia="標楷體" w:hAnsi="標楷體"/>
          <w:color w:val="000000"/>
          <w:sz w:val="28"/>
          <w:szCs w:val="28"/>
        </w:rPr>
        <w:t>)</w:t>
      </w:r>
      <w:r w:rsidRPr="00D43775">
        <w:rPr>
          <w:rFonts w:ascii="標楷體" w:eastAsia="標楷體" w:hAnsi="標楷體" w:hint="eastAsia"/>
          <w:color w:val="000000"/>
          <w:sz w:val="28"/>
          <w:szCs w:val="28"/>
        </w:rPr>
        <w:t>與學員比例以</w:t>
      </w:r>
      <w:r w:rsidRPr="00D43775">
        <w:rPr>
          <w:rFonts w:ascii="標楷體" w:eastAsia="標楷體" w:hAnsi="標楷體"/>
          <w:color w:val="000000"/>
          <w:sz w:val="28"/>
          <w:szCs w:val="28"/>
        </w:rPr>
        <w:t xml:space="preserve">1:15 </w:t>
      </w:r>
      <w:r w:rsidRPr="00D43775">
        <w:rPr>
          <w:rFonts w:ascii="標楷體" w:eastAsia="標楷體" w:hAnsi="標楷體" w:hint="eastAsia"/>
          <w:color w:val="000000"/>
          <w:sz w:val="28"/>
          <w:szCs w:val="28"/>
        </w:rPr>
        <w:t>為開課原則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4E0" w:rsidRPr="00F65403" w:rsidRDefault="00D24ACD" w:rsidP="00D24ACD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CE0C3F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7844E0" w:rsidRPr="00CE0C3F">
        <w:rPr>
          <w:rFonts w:ascii="標楷體" w:eastAsia="標楷體" w:hAnsi="標楷體" w:hint="eastAsia"/>
          <w:color w:val="000000"/>
          <w:sz w:val="28"/>
          <w:szCs w:val="28"/>
        </w:rPr>
        <w:t>、訓練地點：</w:t>
      </w:r>
      <w:r w:rsidR="00547D55" w:rsidRPr="00CE0C3F">
        <w:rPr>
          <w:rFonts w:ascii="標楷體" w:eastAsia="標楷體" w:hAnsi="標楷體" w:hint="eastAsia"/>
          <w:color w:val="000000"/>
          <w:sz w:val="28"/>
          <w:szCs w:val="28"/>
        </w:rPr>
        <w:t>國立屏東科技大學孟祥體育館</w:t>
      </w:r>
      <w:r w:rsidR="00547D55" w:rsidRPr="00CE0C3F">
        <w:rPr>
          <w:rFonts w:ascii="標楷體" w:eastAsia="標楷體" w:hAnsi="標楷體" w:hint="eastAsia"/>
          <w:sz w:val="28"/>
          <w:szCs w:val="28"/>
        </w:rPr>
        <w:t>體教二</w:t>
      </w:r>
      <w:r w:rsidR="009D3FB1" w:rsidRPr="00CE0C3F">
        <w:rPr>
          <w:rFonts w:ascii="標楷體" w:eastAsia="標楷體" w:hAnsi="標楷體" w:hint="eastAsia"/>
          <w:sz w:val="28"/>
          <w:szCs w:val="28"/>
        </w:rPr>
        <w:t>教室</w:t>
      </w:r>
      <w:r w:rsidR="007844E0" w:rsidRPr="00CE0C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4E0" w:rsidRPr="00C10ADF" w:rsidRDefault="00D24ACD" w:rsidP="00D24ACD">
      <w:pPr>
        <w:tabs>
          <w:tab w:val="left" w:pos="851"/>
        </w:tabs>
        <w:spacing w:line="500" w:lineRule="exact"/>
        <w:ind w:rightChars="472" w:right="113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7844E0" w:rsidRPr="00C10ADF">
        <w:rPr>
          <w:rFonts w:ascii="標楷體" w:eastAsia="標楷體" w:hAnsi="標楷體" w:hint="eastAsia"/>
          <w:color w:val="000000"/>
          <w:sz w:val="28"/>
          <w:szCs w:val="28"/>
        </w:rPr>
        <w:t>、訓練人數：預期</w:t>
      </w:r>
      <w:r w:rsidR="00547D55">
        <w:rPr>
          <w:rFonts w:ascii="標楷體" w:eastAsia="標楷體" w:hAnsi="標楷體" w:hint="eastAsia"/>
          <w:color w:val="000000"/>
          <w:sz w:val="28"/>
          <w:szCs w:val="28"/>
        </w:rPr>
        <w:t>45</w:t>
      </w:r>
      <w:r w:rsidR="007844E0" w:rsidRPr="00C10ADF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7844E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3C89" w:rsidRPr="001D2E7B" w:rsidRDefault="00D24ACD" w:rsidP="001D2E7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7844E0" w:rsidRPr="00C10ADF">
        <w:rPr>
          <w:rFonts w:ascii="標楷體" w:eastAsia="標楷體" w:hAnsi="標楷體" w:hint="eastAsia"/>
          <w:color w:val="000000"/>
          <w:sz w:val="28"/>
          <w:szCs w:val="28"/>
        </w:rPr>
        <w:t>、參加資格：</w:t>
      </w:r>
      <w:r w:rsidR="007B4A75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7B4A75">
        <w:rPr>
          <w:rFonts w:ascii="標楷體" w:eastAsia="標楷體" w:hAnsi="標楷體"/>
          <w:color w:val="000000"/>
          <w:sz w:val="28"/>
          <w:szCs w:val="28"/>
        </w:rPr>
        <w:t>具有基本急救觀念且對急救技術有興趣</w:t>
      </w:r>
      <w:r w:rsidR="007B4A75">
        <w:rPr>
          <w:rFonts w:ascii="標楷體" w:eastAsia="標楷體" w:hAnsi="標楷體" w:hint="eastAsia"/>
          <w:color w:val="000000"/>
          <w:sz w:val="28"/>
          <w:szCs w:val="28"/>
        </w:rPr>
        <w:t>學生優先</w:t>
      </w:r>
      <w:r w:rsidR="007B4A75" w:rsidRPr="00C10ADF">
        <w:rPr>
          <w:rFonts w:ascii="標楷體" w:eastAsia="標楷體" w:hAnsi="標楷體"/>
          <w:color w:val="000000"/>
          <w:sz w:val="28"/>
          <w:szCs w:val="28"/>
        </w:rPr>
        <w:t>。</w:t>
      </w:r>
      <w:r w:rsidR="00A23C89" w:rsidRPr="001D2E7B">
        <w:rPr>
          <w:rFonts w:ascii="標楷體" w:eastAsia="標楷體" w:hAnsi="標楷體" w:hint="eastAsia"/>
          <w:color w:val="000000"/>
          <w:sz w:val="28"/>
          <w:szCs w:val="28"/>
        </w:rPr>
        <w:t>(需具</w:t>
      </w:r>
      <w:r w:rsidR="007B4A75" w:rsidRPr="001D2E7B">
        <w:rPr>
          <w:rFonts w:ascii="標楷體" w:eastAsia="標楷體" w:hAnsi="標楷體" w:hint="eastAsia"/>
          <w:color w:val="000000"/>
          <w:sz w:val="28"/>
          <w:szCs w:val="28"/>
        </w:rPr>
        <w:t>相</w:t>
      </w:r>
      <w:r w:rsidR="00A23C89" w:rsidRPr="001D2E7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7844E0" w:rsidRPr="001D2E7B" w:rsidRDefault="00A23C89" w:rsidP="001D2E7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1D2E7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7B4A75" w:rsidRPr="001D2E7B">
        <w:rPr>
          <w:rFonts w:ascii="標楷體" w:eastAsia="標楷體" w:hAnsi="標楷體" w:hint="eastAsia"/>
          <w:color w:val="000000"/>
          <w:sz w:val="28"/>
          <w:szCs w:val="28"/>
        </w:rPr>
        <w:t>當初級中等以上學校畢業或具同等學力。</w:t>
      </w:r>
      <w:r w:rsidRPr="001D2E7B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6E2E0D" w:rsidRDefault="007844E0" w:rsidP="00D24ACD">
      <w:pPr>
        <w:snapToGrid w:val="0"/>
        <w:spacing w:line="500" w:lineRule="exact"/>
        <w:ind w:left="538" w:hangingChars="192" w:hanging="53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A06057">
        <w:rPr>
          <w:rFonts w:ascii="標楷體" w:eastAsia="標楷體" w:hAnsi="標楷體" w:hint="eastAsia"/>
          <w:b/>
          <w:color w:val="000000"/>
          <w:sz w:val="28"/>
          <w:szCs w:val="28"/>
        </w:rPr>
        <w:t>伍、報名費用：</w:t>
      </w:r>
    </w:p>
    <w:p w:rsidR="007844E0" w:rsidRDefault="006E2E0D" w:rsidP="00D24ACD">
      <w:pPr>
        <w:snapToGrid w:val="0"/>
        <w:spacing w:line="500" w:lineRule="exact"/>
        <w:ind w:left="538" w:hangingChars="192" w:hanging="5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E2E0D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FF7812" w:rsidRPr="006E2E0D">
        <w:rPr>
          <w:rFonts w:ascii="標楷體" w:eastAsia="標楷體" w:hAnsi="標楷體" w:hint="eastAsia"/>
          <w:color w:val="000000"/>
          <w:sz w:val="28"/>
          <w:szCs w:val="28"/>
        </w:rPr>
        <w:t>原訓練費用</w:t>
      </w:r>
      <w:r w:rsidR="00050A13">
        <w:rPr>
          <w:rFonts w:ascii="標楷體" w:eastAsia="標楷體" w:hAnsi="標楷體" w:hint="eastAsia"/>
          <w:color w:val="000000"/>
          <w:sz w:val="28"/>
          <w:szCs w:val="28"/>
        </w:rPr>
        <w:t>6,</w:t>
      </w:r>
      <w:r w:rsidR="00FF7812" w:rsidRPr="006E2E0D">
        <w:rPr>
          <w:rFonts w:ascii="標楷體" w:eastAsia="標楷體" w:hAnsi="標楷體" w:hint="eastAsia"/>
          <w:color w:val="000000"/>
          <w:sz w:val="28"/>
          <w:szCs w:val="28"/>
        </w:rPr>
        <w:t>500，因屬</w:t>
      </w:r>
      <w:r w:rsidR="009A5D89">
        <w:rPr>
          <w:rFonts w:ascii="標楷體" w:eastAsia="標楷體" w:hAnsi="標楷體" w:hint="eastAsia"/>
          <w:color w:val="000000"/>
          <w:sz w:val="28"/>
          <w:szCs w:val="28"/>
        </w:rPr>
        <w:t>大專院校</w:t>
      </w:r>
      <w:r w:rsidR="00FF7812" w:rsidRPr="006E2E0D">
        <w:rPr>
          <w:rFonts w:ascii="標楷體" w:eastAsia="標楷體" w:hAnsi="標楷體" w:hint="eastAsia"/>
          <w:color w:val="000000"/>
          <w:sz w:val="28"/>
          <w:szCs w:val="28"/>
        </w:rPr>
        <w:t>公益推廣訓練，</w:t>
      </w:r>
      <w:r w:rsidR="0026774D" w:rsidRPr="006E2E0D">
        <w:rPr>
          <w:rFonts w:ascii="Times New Roman" w:eastAsia="標楷體" w:hAnsi="標楷體" w:hint="eastAsia"/>
          <w:sz w:val="28"/>
          <w:szCs w:val="28"/>
        </w:rPr>
        <w:t>參訓學</w:t>
      </w:r>
      <w:r w:rsidR="00BE6B15" w:rsidRPr="006E2E0D">
        <w:rPr>
          <w:rFonts w:ascii="Times New Roman" w:eastAsia="標楷體" w:hAnsi="標楷體" w:hint="eastAsia"/>
          <w:sz w:val="28"/>
          <w:szCs w:val="28"/>
        </w:rPr>
        <w:t>員</w:t>
      </w:r>
      <w:r w:rsidR="0026774D" w:rsidRPr="006E2E0D">
        <w:rPr>
          <w:rFonts w:ascii="Times New Roman" w:eastAsia="標楷體" w:hAnsi="標楷體" w:hint="eastAsia"/>
          <w:sz w:val="28"/>
          <w:szCs w:val="28"/>
        </w:rPr>
        <w:t>僅需負擔</w:t>
      </w:r>
      <w:r w:rsidR="00A32987">
        <w:rPr>
          <w:rFonts w:ascii="Times New Roman" w:eastAsia="標楷體" w:hAnsi="標楷體" w:hint="eastAsia"/>
          <w:sz w:val="28"/>
          <w:szCs w:val="28"/>
        </w:rPr>
        <w:t>3</w:t>
      </w:r>
      <w:r w:rsidR="00050A13">
        <w:rPr>
          <w:rFonts w:ascii="Times New Roman" w:eastAsia="標楷體" w:hAnsi="標楷體" w:hint="eastAsia"/>
          <w:sz w:val="28"/>
          <w:szCs w:val="28"/>
        </w:rPr>
        <w:t>,</w:t>
      </w:r>
      <w:r w:rsidR="005E600D" w:rsidRPr="006E2E0D">
        <w:rPr>
          <w:rFonts w:ascii="Times New Roman" w:eastAsia="標楷體" w:hAnsi="標楷體" w:hint="eastAsia"/>
          <w:sz w:val="28"/>
          <w:szCs w:val="28"/>
        </w:rPr>
        <w:t>500</w:t>
      </w:r>
      <w:r w:rsidR="005E600D" w:rsidRPr="006E2E0D">
        <w:rPr>
          <w:rFonts w:ascii="Times New Roman" w:eastAsia="標楷體" w:hAnsi="標楷體" w:hint="eastAsia"/>
          <w:sz w:val="28"/>
          <w:szCs w:val="28"/>
        </w:rPr>
        <w:t>元</w:t>
      </w:r>
      <w:r w:rsidR="005E600D">
        <w:rPr>
          <w:rFonts w:ascii="Times New Roman" w:eastAsia="標楷體" w:hAnsi="標楷體" w:hint="eastAsia"/>
          <w:sz w:val="28"/>
          <w:szCs w:val="28"/>
        </w:rPr>
        <w:t>（含</w:t>
      </w:r>
      <w:r w:rsidR="0026774D">
        <w:rPr>
          <w:rFonts w:ascii="Times New Roman" w:eastAsia="標楷體" w:hAnsi="標楷體" w:hint="eastAsia"/>
          <w:sz w:val="28"/>
          <w:szCs w:val="28"/>
        </w:rPr>
        <w:t>訓練教材</w:t>
      </w:r>
      <w:r w:rsidR="009A5D89">
        <w:rPr>
          <w:rFonts w:ascii="Times New Roman" w:eastAsia="標楷體" w:hAnsi="標楷體" w:hint="eastAsia"/>
          <w:sz w:val="28"/>
          <w:szCs w:val="28"/>
        </w:rPr>
        <w:t>兩本</w:t>
      </w:r>
      <w:r w:rsidR="00170822">
        <w:rPr>
          <w:rFonts w:ascii="Times New Roman" w:eastAsia="標楷體" w:hAnsi="標楷體" w:hint="eastAsia"/>
          <w:sz w:val="28"/>
          <w:szCs w:val="28"/>
        </w:rPr>
        <w:t>）</w:t>
      </w:r>
      <w:r w:rsidR="005E600D">
        <w:rPr>
          <w:rFonts w:ascii="Times New Roman" w:eastAsia="標楷體" w:hAnsi="標楷體" w:hint="eastAsia"/>
          <w:sz w:val="28"/>
          <w:szCs w:val="28"/>
        </w:rPr>
        <w:t>，其餘不足經費由安泰</w:t>
      </w:r>
      <w:r w:rsidR="007C5010">
        <w:rPr>
          <w:rFonts w:ascii="Times New Roman" w:eastAsia="標楷體" w:hAnsi="標楷體" w:hint="eastAsia"/>
          <w:sz w:val="28"/>
          <w:szCs w:val="28"/>
        </w:rPr>
        <w:t>醫療社團法人安泰</w:t>
      </w:r>
      <w:r w:rsidR="005E600D">
        <w:rPr>
          <w:rFonts w:ascii="Times New Roman" w:eastAsia="標楷體" w:hAnsi="標楷體" w:hint="eastAsia"/>
          <w:sz w:val="28"/>
          <w:szCs w:val="28"/>
        </w:rPr>
        <w:t>醫院、</w:t>
      </w:r>
      <w:r w:rsidR="00547D55" w:rsidRPr="00547D55">
        <w:rPr>
          <w:rFonts w:ascii="Times New Roman" w:eastAsia="標楷體" w:hAnsi="標楷體" w:hint="eastAsia"/>
          <w:sz w:val="28"/>
          <w:szCs w:val="28"/>
        </w:rPr>
        <w:t>國立屏東科技大學休閒運動健康系</w:t>
      </w:r>
      <w:r w:rsidR="005E600D">
        <w:rPr>
          <w:rFonts w:ascii="Times New Roman" w:eastAsia="標楷體" w:hAnsi="標楷體" w:hint="eastAsia"/>
          <w:sz w:val="28"/>
          <w:szCs w:val="28"/>
        </w:rPr>
        <w:t>協助</w:t>
      </w:r>
      <w:r w:rsidR="0026774D" w:rsidRPr="00C10A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E2E0D" w:rsidRPr="006E2E0D" w:rsidRDefault="006E2E0D" w:rsidP="00D24ACD">
      <w:pPr>
        <w:snapToGrid w:val="0"/>
        <w:spacing w:line="500" w:lineRule="exact"/>
        <w:ind w:left="538" w:hangingChars="192" w:hanging="538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6E2E0D">
        <w:rPr>
          <w:rFonts w:ascii="Times New Roman" w:eastAsia="標楷體" w:hAnsi="標楷體" w:hint="eastAsia"/>
          <w:sz w:val="28"/>
          <w:szCs w:val="28"/>
        </w:rPr>
        <w:t>因故不克參加要求退費者，上課一週前退</w:t>
      </w:r>
      <w:r w:rsidRPr="006E2E0D">
        <w:rPr>
          <w:rFonts w:ascii="Times New Roman" w:eastAsia="標楷體" w:hAnsi="標楷體"/>
          <w:sz w:val="28"/>
          <w:szCs w:val="28"/>
        </w:rPr>
        <w:t>80%</w:t>
      </w:r>
      <w:r w:rsidRPr="006E2E0D">
        <w:rPr>
          <w:rFonts w:ascii="Times New Roman" w:eastAsia="標楷體" w:hAnsi="標楷體" w:hint="eastAsia"/>
          <w:sz w:val="28"/>
          <w:szCs w:val="28"/>
        </w:rPr>
        <w:t>，上課三天前</w:t>
      </w:r>
      <w:r w:rsidRPr="006E2E0D">
        <w:rPr>
          <w:rFonts w:ascii="Times New Roman" w:eastAsia="標楷體" w:hAnsi="標楷體"/>
          <w:sz w:val="28"/>
          <w:szCs w:val="28"/>
        </w:rPr>
        <w:t>(</w:t>
      </w:r>
      <w:r w:rsidRPr="006E2E0D">
        <w:rPr>
          <w:rFonts w:ascii="Times New Roman" w:eastAsia="標楷體" w:hAnsi="標楷體" w:hint="eastAsia"/>
          <w:sz w:val="28"/>
          <w:szCs w:val="28"/>
        </w:rPr>
        <w:t>含活動當天</w:t>
      </w:r>
      <w:r w:rsidRPr="006E2E0D">
        <w:rPr>
          <w:rFonts w:ascii="Times New Roman" w:eastAsia="標楷體" w:hAnsi="標楷體"/>
          <w:sz w:val="28"/>
          <w:szCs w:val="28"/>
        </w:rPr>
        <w:t>)</w:t>
      </w:r>
      <w:r w:rsidRPr="006E2E0D">
        <w:rPr>
          <w:rFonts w:ascii="Times New Roman" w:eastAsia="標楷體" w:hAnsi="標楷體" w:hint="eastAsia"/>
          <w:sz w:val="28"/>
          <w:szCs w:val="28"/>
        </w:rPr>
        <w:t>前退</w:t>
      </w:r>
      <w:r w:rsidRPr="006E2E0D">
        <w:rPr>
          <w:rFonts w:ascii="Times New Roman" w:eastAsia="標楷體" w:hAnsi="標楷體"/>
          <w:sz w:val="28"/>
          <w:szCs w:val="28"/>
        </w:rPr>
        <w:t>60%</w:t>
      </w:r>
      <w:r w:rsidRPr="006E2E0D">
        <w:rPr>
          <w:rFonts w:ascii="Times New Roman" w:eastAsia="標楷體" w:hAnsi="標楷體" w:hint="eastAsia"/>
          <w:sz w:val="28"/>
          <w:szCs w:val="28"/>
        </w:rPr>
        <w:t>，其餘狀況不退。上課當天未出席者視同放棄，恕不退費。</w:t>
      </w:r>
    </w:p>
    <w:p w:rsidR="007A4162" w:rsidRPr="007A4162" w:rsidRDefault="007844E0" w:rsidP="00260192">
      <w:pPr>
        <w:spacing w:beforeLines="50" w:before="180" w:line="500" w:lineRule="exact"/>
        <w:rPr>
          <w:rFonts w:ascii="Times New Roman" w:eastAsia="標楷體" w:hAnsi="標楷體"/>
          <w:sz w:val="28"/>
          <w:szCs w:val="28"/>
        </w:rPr>
      </w:pPr>
      <w:r w:rsidRPr="00FF7812">
        <w:rPr>
          <w:rFonts w:ascii="標楷體" w:eastAsia="標楷體" w:hAnsi="標楷體" w:hint="eastAsia"/>
          <w:b/>
          <w:color w:val="000000"/>
          <w:sz w:val="28"/>
          <w:szCs w:val="28"/>
        </w:rPr>
        <w:t>陸、</w:t>
      </w:r>
      <w:r w:rsidR="007A4162" w:rsidRPr="007A4162">
        <w:rPr>
          <w:rFonts w:ascii="Times New Roman" w:eastAsia="標楷體" w:hAnsi="標楷體"/>
          <w:sz w:val="28"/>
          <w:szCs w:val="28"/>
        </w:rPr>
        <w:t>課程當日</w:t>
      </w:r>
      <w:r w:rsidR="007A4162" w:rsidRPr="007A4162">
        <w:rPr>
          <w:rFonts w:ascii="Times New Roman" w:eastAsia="標楷體" w:hAnsi="標楷體" w:hint="eastAsia"/>
          <w:sz w:val="28"/>
          <w:szCs w:val="28"/>
        </w:rPr>
        <w:t>應繳交資料</w:t>
      </w:r>
      <w:r w:rsidR="007A4162" w:rsidRPr="007A4162">
        <w:rPr>
          <w:rFonts w:ascii="Times New Roman" w:eastAsia="標楷體" w:hAnsi="標楷體"/>
          <w:sz w:val="28"/>
          <w:szCs w:val="28"/>
        </w:rPr>
        <w:t>：</w:t>
      </w:r>
    </w:p>
    <w:p w:rsidR="007A4162" w:rsidRPr="007A4162" w:rsidRDefault="007A4162" w:rsidP="006E2E0D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A4162">
        <w:rPr>
          <w:rFonts w:ascii="標楷體" w:eastAsia="標楷體" w:hAnsi="標楷體" w:hint="eastAsia"/>
          <w:color w:val="000000"/>
          <w:sz w:val="28"/>
          <w:szCs w:val="28"/>
        </w:rPr>
        <w:t>一、黏貼身分證正反面影本。</w:t>
      </w:r>
    </w:p>
    <w:p w:rsidR="007A4162" w:rsidRPr="007A4162" w:rsidRDefault="007A4162" w:rsidP="007A4162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7A4162">
        <w:rPr>
          <w:rFonts w:ascii="標楷體" w:eastAsia="標楷體" w:hAnsi="標楷體" w:hint="eastAsia"/>
          <w:color w:val="000000"/>
          <w:sz w:val="28"/>
          <w:szCs w:val="28"/>
        </w:rPr>
        <w:t>一吋或二吋正式脫帽照片二張。</w:t>
      </w:r>
    </w:p>
    <w:p w:rsidR="00EE3E5B" w:rsidRPr="00117880" w:rsidRDefault="007A4162" w:rsidP="00EE3E5B">
      <w:pPr>
        <w:snapToGrid w:val="0"/>
        <w:spacing w:beforeLines="50" w:before="180"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柒、</w:t>
      </w:r>
      <w:r w:rsidR="000B3AA3" w:rsidRPr="00FF7812">
        <w:rPr>
          <w:rFonts w:ascii="標楷體" w:eastAsia="標楷體" w:hAnsi="標楷體"/>
          <w:b/>
          <w:color w:val="000000"/>
          <w:sz w:val="28"/>
          <w:szCs w:val="28"/>
        </w:rPr>
        <w:t>報名時間及地點：</w:t>
      </w:r>
      <w:r w:rsidR="00B55EE5" w:rsidRPr="00117880">
        <w:rPr>
          <w:rFonts w:ascii="標楷體" w:eastAsia="標楷體" w:hAnsi="標楷體" w:hint="eastAsia"/>
          <w:sz w:val="28"/>
          <w:szCs w:val="28"/>
        </w:rPr>
        <w:t>課程屬</w:t>
      </w:r>
      <w:r w:rsidR="00117880">
        <w:rPr>
          <w:rFonts w:ascii="標楷體" w:eastAsia="標楷體" w:hAnsi="標楷體" w:hint="eastAsia"/>
          <w:sz w:val="28"/>
          <w:szCs w:val="28"/>
        </w:rPr>
        <w:t>大</w:t>
      </w:r>
      <w:r w:rsidR="00B55EE5" w:rsidRPr="00117880">
        <w:rPr>
          <w:rFonts w:ascii="標楷體" w:eastAsia="標楷體" w:hAnsi="標楷體" w:hint="eastAsia"/>
          <w:sz w:val="28"/>
          <w:szCs w:val="28"/>
        </w:rPr>
        <w:t>專</w:t>
      </w:r>
      <w:r w:rsidR="00117880">
        <w:rPr>
          <w:rFonts w:ascii="標楷體" w:eastAsia="標楷體" w:hAnsi="標楷體" w:hint="eastAsia"/>
          <w:sz w:val="28"/>
          <w:szCs w:val="28"/>
        </w:rPr>
        <w:t>院校推廣專</w:t>
      </w:r>
      <w:r w:rsidR="00B55EE5" w:rsidRPr="00117880">
        <w:rPr>
          <w:rFonts w:ascii="標楷體" w:eastAsia="標楷體" w:hAnsi="標楷體" w:hint="eastAsia"/>
          <w:sz w:val="28"/>
          <w:szCs w:val="28"/>
        </w:rPr>
        <w:t>班由</w:t>
      </w:r>
      <w:r w:rsidR="00547D55" w:rsidRPr="00547D55">
        <w:rPr>
          <w:rFonts w:ascii="Times New Roman" w:eastAsia="標楷體" w:hAnsi="標楷體" w:hint="eastAsia"/>
          <w:sz w:val="28"/>
          <w:szCs w:val="28"/>
        </w:rPr>
        <w:t>國立屏東科技大學休閒運動健康系</w:t>
      </w:r>
      <w:r w:rsidR="00B55EE5" w:rsidRPr="00117880">
        <w:rPr>
          <w:rFonts w:ascii="標楷體" w:eastAsia="標楷體" w:hAnsi="標楷體" w:hint="eastAsia"/>
          <w:sz w:val="28"/>
          <w:szCs w:val="28"/>
        </w:rPr>
        <w:t>團體報名</w:t>
      </w:r>
      <w:r w:rsidR="000B3AA3" w:rsidRPr="00117880">
        <w:rPr>
          <w:rFonts w:ascii="標楷體" w:eastAsia="標楷體" w:hAnsi="標楷體"/>
          <w:sz w:val="28"/>
          <w:szCs w:val="28"/>
        </w:rPr>
        <w:t>。</w:t>
      </w:r>
    </w:p>
    <w:p w:rsidR="00EE3E5B" w:rsidRPr="007278C5" w:rsidRDefault="00EE3E5B" w:rsidP="00EE3E5B">
      <w:pPr>
        <w:tabs>
          <w:tab w:val="left" w:pos="851"/>
        </w:tabs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7278C5">
        <w:rPr>
          <w:rFonts w:eastAsia="標楷體"/>
          <w:sz w:val="28"/>
          <w:szCs w:val="28"/>
        </w:rPr>
        <w:t>(</w:t>
      </w:r>
      <w:r w:rsidRPr="007278C5">
        <w:rPr>
          <w:rFonts w:eastAsia="標楷體" w:hAnsi="標楷體"/>
          <w:sz w:val="28"/>
          <w:szCs w:val="28"/>
        </w:rPr>
        <w:t>一</w:t>
      </w:r>
      <w:r w:rsidRPr="007278C5">
        <w:rPr>
          <w:rFonts w:eastAsia="標楷體"/>
          <w:sz w:val="28"/>
          <w:szCs w:val="28"/>
        </w:rPr>
        <w:t>)</w:t>
      </w:r>
      <w:r w:rsidRPr="007278C5">
        <w:rPr>
          <w:rFonts w:ascii="標楷體" w:eastAsia="標楷體" w:hAnsi="標楷體"/>
          <w:bCs/>
          <w:color w:val="000000"/>
          <w:sz w:val="28"/>
          <w:szCs w:val="28"/>
        </w:rPr>
        <w:t>承辦人：</w:t>
      </w:r>
      <w:r w:rsidRPr="007278C5">
        <w:rPr>
          <w:rFonts w:ascii="Times New Roman" w:eastAsia="標楷體" w:hAnsi="標楷體" w:hint="eastAsia"/>
          <w:sz w:val="28"/>
          <w:szCs w:val="28"/>
        </w:rPr>
        <w:t>屏東科技大學休閒運動健康系助理</w:t>
      </w:r>
      <w:r w:rsidRPr="007278C5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</w:t>
      </w:r>
    </w:p>
    <w:p w:rsidR="00EE3E5B" w:rsidRPr="007278C5" w:rsidRDefault="00EE3E5B" w:rsidP="00EE3E5B">
      <w:pPr>
        <w:tabs>
          <w:tab w:val="left" w:pos="851"/>
        </w:tabs>
        <w:spacing w:line="500" w:lineRule="exact"/>
        <w:ind w:firstLineChars="150" w:firstLine="420"/>
        <w:rPr>
          <w:rFonts w:ascii="標楷體" w:eastAsia="標楷體" w:hAnsi="標楷體"/>
          <w:bCs/>
          <w:color w:val="000000"/>
          <w:sz w:val="28"/>
          <w:szCs w:val="28"/>
        </w:rPr>
      </w:pPr>
      <w:r w:rsidRPr="007278C5">
        <w:rPr>
          <w:rFonts w:ascii="標楷體" w:eastAsia="標楷體" w:hAnsi="標楷體" w:hint="eastAsia"/>
          <w:bCs/>
          <w:color w:val="000000"/>
          <w:sz w:val="28"/>
          <w:szCs w:val="28"/>
        </w:rPr>
        <w:t>電話：</w:t>
      </w:r>
      <w:r w:rsidRPr="007278C5">
        <w:rPr>
          <w:rFonts w:ascii="標楷體" w:eastAsia="標楷體" w:hAnsi="標楷體"/>
          <w:bCs/>
          <w:color w:val="000000"/>
          <w:sz w:val="28"/>
          <w:szCs w:val="28"/>
        </w:rPr>
        <w:t>08-</w:t>
      </w:r>
      <w:r w:rsidRPr="007278C5">
        <w:rPr>
          <w:rFonts w:ascii="標楷體" w:eastAsia="標楷體" w:hAnsi="標楷體" w:hint="eastAsia"/>
          <w:bCs/>
          <w:color w:val="000000"/>
          <w:sz w:val="28"/>
          <w:szCs w:val="28"/>
        </w:rPr>
        <w:t>7703202</w:t>
      </w:r>
      <w:r w:rsidRPr="007278C5">
        <w:rPr>
          <w:rFonts w:ascii="標楷體" w:eastAsia="標楷體" w:hAnsi="標楷體"/>
          <w:bCs/>
          <w:color w:val="000000"/>
          <w:sz w:val="28"/>
          <w:szCs w:val="28"/>
        </w:rPr>
        <w:t>#</w:t>
      </w:r>
      <w:r w:rsidRPr="007278C5">
        <w:rPr>
          <w:rFonts w:ascii="標楷體" w:eastAsia="標楷體" w:hAnsi="標楷體" w:hint="eastAsia"/>
          <w:bCs/>
          <w:color w:val="000000"/>
          <w:sz w:val="28"/>
          <w:szCs w:val="28"/>
        </w:rPr>
        <w:t>6496</w:t>
      </w:r>
      <w:r w:rsidRPr="007278C5">
        <w:rPr>
          <w:rFonts w:ascii="標楷體" w:eastAsia="標楷體" w:hAnsi="標楷體"/>
          <w:bCs/>
          <w:color w:val="000000"/>
          <w:sz w:val="28"/>
          <w:szCs w:val="28"/>
        </w:rPr>
        <w:t xml:space="preserve"> 傳真：08-</w:t>
      </w:r>
      <w:r w:rsidRPr="007278C5">
        <w:rPr>
          <w:rFonts w:ascii="標楷體" w:eastAsia="標楷體" w:hAnsi="標楷體" w:hint="eastAsia"/>
          <w:bCs/>
          <w:color w:val="000000"/>
          <w:sz w:val="28"/>
          <w:szCs w:val="28"/>
        </w:rPr>
        <w:t>7740536</w:t>
      </w:r>
    </w:p>
    <w:p w:rsidR="000B3AA3" w:rsidRPr="00EE3E5B" w:rsidRDefault="00EE3E5B" w:rsidP="00EE3E5B">
      <w:pPr>
        <w:tabs>
          <w:tab w:val="left" w:pos="851"/>
        </w:tabs>
        <w:spacing w:line="520" w:lineRule="exact"/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7278C5">
        <w:rPr>
          <w:rFonts w:ascii="標楷體" w:eastAsia="標楷體" w:hAnsi="標楷體"/>
          <w:bCs/>
          <w:color w:val="000000"/>
          <w:sz w:val="28"/>
          <w:szCs w:val="28"/>
        </w:rPr>
        <w:t xml:space="preserve">Email: </w:t>
      </w:r>
      <w:r w:rsidRPr="007278C5">
        <w:rPr>
          <w:rFonts w:ascii="標楷體" w:eastAsia="標楷體" w:hAnsi="標楷體" w:hint="eastAsia"/>
          <w:bCs/>
          <w:color w:val="000000"/>
          <w:sz w:val="28"/>
          <w:szCs w:val="28"/>
        </w:rPr>
        <w:t>rshp@mail.npust.edu.tw</w:t>
      </w:r>
    </w:p>
    <w:p w:rsidR="007844E0" w:rsidRDefault="001D2E7B" w:rsidP="001D2E7B">
      <w:pPr>
        <w:tabs>
          <w:tab w:val="left" w:pos="851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B419E">
        <w:rPr>
          <w:rFonts w:eastAsia="標楷體"/>
          <w:sz w:val="28"/>
          <w:szCs w:val="28"/>
        </w:rPr>
        <w:t>(</w:t>
      </w:r>
      <w:r w:rsidRPr="000B419E">
        <w:rPr>
          <w:rFonts w:eastAsia="標楷體" w:hAnsi="標楷體" w:hint="eastAsia"/>
          <w:sz w:val="28"/>
          <w:szCs w:val="28"/>
        </w:rPr>
        <w:t>二</w:t>
      </w:r>
      <w:r w:rsidRPr="000B419E">
        <w:rPr>
          <w:rFonts w:eastAsia="標楷體"/>
          <w:sz w:val="28"/>
          <w:szCs w:val="28"/>
        </w:rPr>
        <w:t>)</w:t>
      </w:r>
      <w:r w:rsidR="001C588E" w:rsidRPr="00A06057">
        <w:rPr>
          <w:rFonts w:ascii="標楷體" w:eastAsia="標楷體" w:hAnsi="標楷體" w:hint="eastAsia"/>
          <w:b/>
          <w:color w:val="000000"/>
          <w:sz w:val="28"/>
          <w:szCs w:val="28"/>
        </w:rPr>
        <w:t>課程籌劃人：</w:t>
      </w:r>
      <w:r w:rsidR="001C588E">
        <w:rPr>
          <w:rFonts w:ascii="標楷體" w:eastAsia="標楷體" w:hAnsi="標楷體" w:hint="eastAsia"/>
          <w:color w:val="000000"/>
          <w:sz w:val="28"/>
          <w:szCs w:val="28"/>
        </w:rPr>
        <w:t>安泰醫療社團法人安泰醫</w:t>
      </w:r>
      <w:r w:rsidR="004B5E00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DC1ADC">
        <w:rPr>
          <w:rFonts w:ascii="標楷體" w:eastAsia="標楷體" w:hAnsi="標楷體" w:hint="eastAsia"/>
          <w:color w:val="000000"/>
          <w:sz w:val="28"/>
          <w:szCs w:val="28"/>
        </w:rPr>
        <w:t>到院前救護中心</w:t>
      </w:r>
      <w:r w:rsidR="001C588E">
        <w:rPr>
          <w:rFonts w:ascii="標楷體" w:eastAsia="標楷體" w:hAnsi="標楷體" w:hint="eastAsia"/>
          <w:color w:val="000000"/>
          <w:sz w:val="28"/>
          <w:szCs w:val="28"/>
        </w:rPr>
        <w:t>張天成</w:t>
      </w:r>
      <w:r w:rsidR="00DC1ADC">
        <w:rPr>
          <w:rFonts w:ascii="標楷體" w:eastAsia="標楷體" w:hAnsi="標楷體" w:hint="eastAsia"/>
          <w:color w:val="000000"/>
          <w:sz w:val="28"/>
          <w:szCs w:val="28"/>
        </w:rPr>
        <w:t>督導</w:t>
      </w:r>
    </w:p>
    <w:p w:rsidR="00A06057" w:rsidRDefault="00A06057" w:rsidP="007844E0">
      <w:pPr>
        <w:tabs>
          <w:tab w:val="left" w:pos="3900"/>
          <w:tab w:val="left" w:pos="9540"/>
        </w:tabs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聯絡電話：0980753102    電子信箱：</w:t>
      </w:r>
      <w:hyperlink r:id="rId7" w:history="1">
        <w:r w:rsidR="001D2E7B" w:rsidRPr="005A6BE3">
          <w:rPr>
            <w:rStyle w:val="a6"/>
            <w:rFonts w:ascii="標楷體" w:eastAsia="標楷體" w:hAnsi="標楷體" w:hint="eastAsia"/>
            <w:sz w:val="28"/>
            <w:szCs w:val="28"/>
          </w:rPr>
          <w:t>tian0219@gmail.com</w:t>
        </w:r>
      </w:hyperlink>
    </w:p>
    <w:p w:rsidR="001D2E7B" w:rsidRPr="00C10ADF" w:rsidRDefault="001D2E7B" w:rsidP="007844E0">
      <w:pPr>
        <w:tabs>
          <w:tab w:val="left" w:pos="3900"/>
          <w:tab w:val="left" w:pos="9540"/>
        </w:tabs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B419E">
        <w:rPr>
          <w:rFonts w:eastAsia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三</w:t>
      </w:r>
      <w:r w:rsidRPr="000B419E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課程負責人：安泰醫療社團法人安泰醫院到院前救護中心</w:t>
      </w:r>
      <w:r w:rsidR="00B36BB5">
        <w:rPr>
          <w:rFonts w:eastAsia="標楷體" w:hint="eastAsia"/>
          <w:sz w:val="28"/>
          <w:szCs w:val="28"/>
        </w:rPr>
        <w:t>蕭韻倩</w:t>
      </w:r>
      <w:r w:rsidR="00B36BB5">
        <w:rPr>
          <w:rFonts w:eastAsia="標楷體" w:hint="eastAsia"/>
          <w:sz w:val="28"/>
          <w:szCs w:val="28"/>
        </w:rPr>
        <w:t xml:space="preserve"> </w:t>
      </w:r>
      <w:r w:rsidR="00B36BB5">
        <w:rPr>
          <w:rFonts w:eastAsia="標楷體" w:hint="eastAsia"/>
          <w:sz w:val="28"/>
          <w:szCs w:val="28"/>
        </w:rPr>
        <w:t>副主任</w:t>
      </w:r>
    </w:p>
    <w:p w:rsidR="001C588E" w:rsidRPr="00A06057" w:rsidRDefault="001D2E7B" w:rsidP="00260192">
      <w:pPr>
        <w:spacing w:beforeLines="50" w:before="180"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7844E0" w:rsidRPr="00A0605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7844E0" w:rsidRPr="00A060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認證標準</w:t>
      </w:r>
      <w:r w:rsidR="001C588E" w:rsidRPr="00A060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C588E" w:rsidRPr="002C0834" w:rsidRDefault="001C588E" w:rsidP="001C588E">
      <w:pPr>
        <w:tabs>
          <w:tab w:val="left" w:pos="851"/>
        </w:tabs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一、學術科由安泰醫療社團法人安泰醫院認證。</w:t>
      </w:r>
    </w:p>
    <w:p w:rsidR="001C588E" w:rsidRPr="002C0834" w:rsidRDefault="001C588E" w:rsidP="001C588E">
      <w:pPr>
        <w:tabs>
          <w:tab w:val="left" w:pos="851"/>
        </w:tabs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二、訓練課程：區分為訓練、綜合測驗等共 4</w:t>
      </w:r>
      <w:r w:rsidR="00682437"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小時。</w:t>
      </w:r>
    </w:p>
    <w:p w:rsidR="001C588E" w:rsidRPr="002C0834" w:rsidRDefault="001C588E" w:rsidP="001C588E">
      <w:pPr>
        <w:tabs>
          <w:tab w:val="left" w:pos="851"/>
        </w:tabs>
        <w:spacing w:line="500" w:lineRule="exac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2C0834">
        <w:rPr>
          <w:rFonts w:ascii="標楷體" w:eastAsia="標楷體" w:hAnsi="標楷體" w:hint="eastAsia"/>
          <w:sz w:val="28"/>
          <w:szCs w:val="28"/>
        </w:rPr>
        <w:t>全程參與課程，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術科</w:t>
      </w:r>
      <w:r>
        <w:rPr>
          <w:rFonts w:ascii="標楷體" w:eastAsia="標楷體" w:hAnsi="標楷體"/>
          <w:bCs/>
          <w:color w:val="000000"/>
          <w:sz w:val="28"/>
          <w:szCs w:val="28"/>
        </w:rPr>
        <w:t>技術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（佔</w:t>
      </w:r>
      <w:r w:rsidR="00AC2560">
        <w:rPr>
          <w:rFonts w:ascii="標楷體" w:eastAsia="標楷體" w:hAnsi="標楷體" w:hint="eastAsia"/>
          <w:bCs/>
          <w:color w:val="000000"/>
          <w:sz w:val="28"/>
          <w:szCs w:val="28"/>
        </w:rPr>
        <w:t>55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％）</w:t>
      </w:r>
      <w:r w:rsidRPr="002C0834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學</w:t>
      </w:r>
      <w:r>
        <w:rPr>
          <w:rFonts w:ascii="標楷體" w:eastAsia="標楷體" w:hAnsi="標楷體"/>
          <w:bCs/>
          <w:color w:val="000000"/>
          <w:sz w:val="28"/>
          <w:szCs w:val="28"/>
        </w:rPr>
        <w:t>科</w:t>
      </w:r>
      <w:r w:rsidRPr="002C0834">
        <w:rPr>
          <w:rFonts w:ascii="標楷體" w:eastAsia="標楷體" w:hAnsi="標楷體"/>
          <w:bCs/>
          <w:color w:val="000000"/>
          <w:sz w:val="28"/>
          <w:szCs w:val="28"/>
        </w:rPr>
        <w:t>筆試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（佔</w:t>
      </w:r>
      <w:r w:rsidR="00682437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0％）</w:t>
      </w:r>
      <w:r w:rsidRPr="002C0834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平常成績（佔1</w:t>
      </w:r>
      <w:r w:rsidR="00AC2560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％）測驗</w:t>
      </w:r>
      <w:r w:rsidRPr="002C0834">
        <w:rPr>
          <w:rFonts w:ascii="標楷體" w:eastAsia="標楷體" w:hAnsi="標楷體"/>
          <w:bCs/>
          <w:color w:val="000000"/>
          <w:sz w:val="28"/>
          <w:szCs w:val="28"/>
        </w:rPr>
        <w:t>成績達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75</w:t>
      </w:r>
      <w:r w:rsidRPr="002C0834">
        <w:rPr>
          <w:rFonts w:ascii="標楷體" w:eastAsia="標楷體" w:hAnsi="標楷體"/>
          <w:bCs/>
          <w:color w:val="000000"/>
          <w:sz w:val="28"/>
          <w:szCs w:val="28"/>
        </w:rPr>
        <w:t>分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以上</w:t>
      </w:r>
      <w:r w:rsidRPr="002C0834">
        <w:rPr>
          <w:rFonts w:ascii="標楷體" w:eastAsia="標楷體" w:hAnsi="標楷體" w:hint="eastAsia"/>
          <w:sz w:val="28"/>
          <w:szCs w:val="28"/>
        </w:rPr>
        <w:t>，合格者即可取得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安泰醫療社團法人安</w:t>
      </w: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泰醫院</w:t>
      </w:r>
      <w:r>
        <w:rPr>
          <w:rFonts w:ascii="標楷體" w:eastAsia="標楷體" w:hAnsi="標楷體" w:hint="eastAsia"/>
          <w:sz w:val="28"/>
          <w:szCs w:val="28"/>
        </w:rPr>
        <w:t>核發</w:t>
      </w:r>
      <w:r w:rsidRPr="002C0834">
        <w:rPr>
          <w:rFonts w:ascii="標楷體" w:eastAsia="標楷體" w:hAnsi="標楷體" w:hint="eastAsia"/>
          <w:sz w:val="28"/>
          <w:szCs w:val="28"/>
        </w:rPr>
        <w:t>之初級救護技術員</w:t>
      </w:r>
      <w:r w:rsidRPr="002C0834">
        <w:rPr>
          <w:rFonts w:ascii="標楷體" w:eastAsia="標楷體" w:hAnsi="標楷體" w:hint="eastAsia"/>
          <w:bCs/>
          <w:sz w:val="28"/>
          <w:szCs w:val="28"/>
        </w:rPr>
        <w:t>合格證書。</w:t>
      </w:r>
    </w:p>
    <w:p w:rsidR="001C588E" w:rsidRPr="002C0834" w:rsidRDefault="001C588E" w:rsidP="001C588E">
      <w:pPr>
        <w:tabs>
          <w:tab w:val="left" w:pos="851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四、</w:t>
      </w:r>
      <w:r w:rsidRPr="002C0834">
        <w:rPr>
          <w:rFonts w:ascii="標楷體" w:eastAsia="標楷體" w:hAnsi="標楷體" w:hint="eastAsia"/>
          <w:sz w:val="28"/>
          <w:szCs w:val="28"/>
        </w:rPr>
        <w:t>證書效期：自發證日起3年。</w:t>
      </w:r>
    </w:p>
    <w:p w:rsidR="00261423" w:rsidRDefault="001C588E" w:rsidP="00260192">
      <w:pPr>
        <w:tabs>
          <w:tab w:val="left" w:pos="851"/>
        </w:tabs>
        <w:spacing w:afterLines="50" w:after="180" w:line="500" w:lineRule="exact"/>
        <w:ind w:left="560" w:hangingChars="200" w:hanging="560"/>
        <w:outlineLvl w:val="0"/>
        <w:rPr>
          <w:rFonts w:ascii="標楷體" w:eastAsia="標楷體" w:hAnsi="標楷體"/>
          <w:sz w:val="28"/>
          <w:szCs w:val="28"/>
        </w:rPr>
      </w:pPr>
      <w:r w:rsidRPr="002C0834">
        <w:rPr>
          <w:rFonts w:ascii="標楷體" w:eastAsia="標楷體" w:hAnsi="標楷體" w:hint="eastAsia"/>
          <w:bCs/>
          <w:color w:val="000000"/>
          <w:sz w:val="28"/>
          <w:szCs w:val="28"/>
        </w:rPr>
        <w:t>五、繼續教育：</w:t>
      </w:r>
      <w:r w:rsidRPr="002C0834">
        <w:rPr>
          <w:rFonts w:ascii="標楷體" w:eastAsia="標楷體" w:hAnsi="標楷體" w:hint="eastAsia"/>
          <w:sz w:val="28"/>
          <w:szCs w:val="28"/>
        </w:rPr>
        <w:t>初級救護技術員</w:t>
      </w:r>
      <w:r w:rsidRPr="002C0834">
        <w:rPr>
          <w:rFonts w:ascii="標楷體" w:eastAsia="標楷體" w:hAnsi="標楷體"/>
          <w:sz w:val="28"/>
          <w:szCs w:val="28"/>
        </w:rPr>
        <w:t>於</w:t>
      </w:r>
      <w:r w:rsidRPr="002C0834">
        <w:rPr>
          <w:rFonts w:ascii="標楷體" w:eastAsia="標楷體" w:hAnsi="標楷體" w:hint="eastAsia"/>
          <w:sz w:val="28"/>
          <w:szCs w:val="28"/>
        </w:rPr>
        <w:t>證書</w:t>
      </w:r>
      <w:r w:rsidRPr="002C0834">
        <w:rPr>
          <w:rFonts w:ascii="標楷體" w:eastAsia="標楷體" w:hAnsi="標楷體"/>
          <w:sz w:val="28"/>
          <w:szCs w:val="28"/>
        </w:rPr>
        <w:t>效期</w:t>
      </w:r>
      <w:r w:rsidRPr="002C0834">
        <w:rPr>
          <w:rFonts w:ascii="標楷體" w:eastAsia="標楷體" w:hAnsi="標楷體" w:hint="eastAsia"/>
          <w:sz w:val="28"/>
          <w:szCs w:val="28"/>
        </w:rPr>
        <w:t>3年內</w:t>
      </w:r>
      <w:r w:rsidRPr="002C0834">
        <w:rPr>
          <w:rFonts w:ascii="標楷體" w:eastAsia="標楷體" w:hAnsi="標楷體"/>
          <w:sz w:val="28"/>
          <w:szCs w:val="28"/>
        </w:rPr>
        <w:t>，</w:t>
      </w:r>
      <w:r w:rsidRPr="002C0834">
        <w:rPr>
          <w:rFonts w:ascii="標楷體" w:eastAsia="標楷體" w:hAnsi="標楷體" w:hint="eastAsia"/>
          <w:sz w:val="28"/>
          <w:szCs w:val="28"/>
        </w:rPr>
        <w:t>完成訓練課程基準科目達24小時以上，且其中12小時以上為模組二、四、六之科目，得展延證書效期，一次以3年為限。未於規定期限內完成繼續教育課程達規定時數，證書失效。</w:t>
      </w:r>
    </w:p>
    <w:p w:rsidR="001C588E" w:rsidRPr="00A80218" w:rsidRDefault="001D2E7B" w:rsidP="001C588E">
      <w:pPr>
        <w:tabs>
          <w:tab w:val="left" w:pos="851"/>
        </w:tabs>
        <w:spacing w:before="100" w:beforeAutospacing="1" w:line="500" w:lineRule="exact"/>
        <w:outlineLvl w:val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1C588E" w:rsidRPr="00A80218">
        <w:rPr>
          <w:rFonts w:ascii="標楷體" w:eastAsia="標楷體" w:hAnsi="標楷體" w:hint="eastAsia"/>
          <w:b/>
          <w:sz w:val="28"/>
        </w:rPr>
        <w:t>、其他事項</w:t>
      </w:r>
    </w:p>
    <w:p w:rsidR="001C588E" w:rsidRPr="00117880" w:rsidRDefault="0026774D" w:rsidP="00CE2358">
      <w:pPr>
        <w:tabs>
          <w:tab w:val="left" w:pos="720"/>
        </w:tabs>
        <w:spacing w:line="500" w:lineRule="exact"/>
        <w:ind w:leftChars="19" w:left="606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788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D62A07" w:rsidRPr="0011788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有關本院蒐集之學員資料將依個人資料保護法相關規定辦理。</w:t>
      </w:r>
    </w:p>
    <w:p w:rsidR="001C588E" w:rsidRPr="00432609" w:rsidRDefault="0026774D" w:rsidP="00CE2358">
      <w:pPr>
        <w:tabs>
          <w:tab w:val="left" w:pos="540"/>
        </w:tabs>
        <w:spacing w:line="500" w:lineRule="exact"/>
        <w:ind w:left="538" w:hangingChars="192" w:hanging="53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1C588E" w:rsidRPr="004326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本訓練單位遵守個資法第</w:t>
      </w:r>
      <w:r w:rsidR="001C588E" w:rsidRPr="0043260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20</w:t>
      </w:r>
      <w:r w:rsidR="001C588E" w:rsidRPr="004326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條之規定，在符合蒐集之特定目的下處理及利用個人資料。未經</w:t>
      </w:r>
      <w:r w:rsidR="001C588E" w:rsidRPr="00432609">
        <w:rPr>
          <w:rFonts w:eastAsia="標楷體" w:hAnsi="標楷體" w:hint="eastAsia"/>
          <w:color w:val="000000"/>
          <w:sz w:val="28"/>
          <w:szCs w:val="28"/>
        </w:rPr>
        <w:t>參訓學員之允許，均不得私自複製、揭露、公開或散布。</w:t>
      </w:r>
    </w:p>
    <w:p w:rsidR="00CE2358" w:rsidRDefault="0026774D" w:rsidP="00CE2358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E23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="00CE2358" w:rsidRPr="00CE235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本次訓練指派專人，負責所有學員上課秩序、學習態度管理、考核事宜。</w:t>
      </w:r>
    </w:p>
    <w:p w:rsidR="00CE2358" w:rsidRDefault="00CE2358" w:rsidP="00CE2358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Pr="00CE235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參訓人員請準時上課，並全程參與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參訓學員之學習態度欠佳即予退訓，不得參加考試取得證照</w:t>
      </w:r>
      <w:r w:rsidR="001C588E" w:rsidRPr="00CE23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E2358" w:rsidRPr="00CE2358" w:rsidRDefault="00CE2358" w:rsidP="00CE2358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 w:rsidRPr="00CE235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各參訓學員請注意上課秩序勿於課堂上抽煙嚼檳榔，並於上課前十分鐘就畢。</w:t>
      </w:r>
    </w:p>
    <w:p w:rsidR="001C588E" w:rsidRPr="0067682C" w:rsidRDefault="00CE2358" w:rsidP="00CE2358">
      <w:pPr>
        <w:tabs>
          <w:tab w:val="left" w:pos="720"/>
        </w:tabs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26774D">
        <w:rPr>
          <w:rFonts w:eastAsia="標楷體" w:hint="eastAsia"/>
          <w:sz w:val="28"/>
          <w:szCs w:val="28"/>
        </w:rPr>
        <w:t>、</w:t>
      </w:r>
      <w:r w:rsidR="001C588E" w:rsidRPr="0067682C">
        <w:rPr>
          <w:rFonts w:eastAsia="標楷體" w:hint="eastAsia"/>
          <w:sz w:val="28"/>
          <w:szCs w:val="28"/>
        </w:rPr>
        <w:t>學員應按時上課確實簽到、簽退</w:t>
      </w:r>
      <w:r w:rsidR="001C588E" w:rsidRPr="0067682C">
        <w:rPr>
          <w:rFonts w:eastAsia="標楷體" w:hint="eastAsia"/>
          <w:sz w:val="28"/>
          <w:szCs w:val="28"/>
        </w:rPr>
        <w:t>(</w:t>
      </w:r>
      <w:r w:rsidR="001C588E" w:rsidRPr="0067682C">
        <w:rPr>
          <w:rFonts w:eastAsia="標楷體" w:hint="eastAsia"/>
          <w:sz w:val="28"/>
          <w:szCs w:val="28"/>
        </w:rPr>
        <w:t>冒名頂替者，一經查獲逕予退訓論</w:t>
      </w:r>
      <w:r w:rsidR="001C588E" w:rsidRPr="0067682C">
        <w:rPr>
          <w:rFonts w:eastAsia="標楷體" w:hint="eastAsia"/>
          <w:sz w:val="28"/>
          <w:szCs w:val="28"/>
        </w:rPr>
        <w:t>)</w:t>
      </w:r>
      <w:r w:rsidR="001C588E" w:rsidRPr="0067682C">
        <w:rPr>
          <w:rFonts w:eastAsia="標楷體" w:hint="eastAsia"/>
          <w:sz w:val="28"/>
          <w:szCs w:val="28"/>
        </w:rPr>
        <w:t>。</w:t>
      </w:r>
    </w:p>
    <w:p w:rsidR="001C588E" w:rsidRDefault="00CE2358" w:rsidP="00CE2358">
      <w:pPr>
        <w:tabs>
          <w:tab w:val="left" w:pos="-3960"/>
          <w:tab w:val="left" w:pos="540"/>
        </w:tabs>
        <w:spacing w:line="5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26774D">
        <w:rPr>
          <w:rFonts w:eastAsia="標楷體" w:hint="eastAsia"/>
          <w:sz w:val="28"/>
          <w:szCs w:val="28"/>
        </w:rPr>
        <w:t>、</w:t>
      </w:r>
      <w:r w:rsidR="001C588E" w:rsidRPr="0067682C">
        <w:rPr>
          <w:rFonts w:eastAsia="標楷體" w:hint="eastAsia"/>
          <w:sz w:val="28"/>
          <w:szCs w:val="28"/>
        </w:rPr>
        <w:t>安排值日生分別負責茶水供應，課後教具整理、搬運，及維護教室清潔；遴選學員長、副學員長各一位，負責上課秩序、督促值日生完成志願服務工作、學習態度管理及其他事項聯繫事宜。</w:t>
      </w:r>
    </w:p>
    <w:p w:rsidR="007844E0" w:rsidRDefault="00CE2358" w:rsidP="00CE2358">
      <w:pPr>
        <w:tabs>
          <w:tab w:val="left" w:pos="-3960"/>
          <w:tab w:val="left" w:pos="720"/>
        </w:tabs>
        <w:spacing w:line="500" w:lineRule="exact"/>
        <w:ind w:leftChars="2" w:left="565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26774D">
        <w:rPr>
          <w:rFonts w:eastAsia="標楷體" w:hint="eastAsia"/>
          <w:sz w:val="28"/>
          <w:szCs w:val="28"/>
        </w:rPr>
        <w:t>、</w:t>
      </w:r>
      <w:r w:rsidR="001C588E">
        <w:rPr>
          <w:rFonts w:eastAsia="標楷體" w:hint="eastAsia"/>
          <w:sz w:val="28"/>
          <w:szCs w:val="28"/>
        </w:rPr>
        <w:t>訓練期間，因術科訓練請著輕便服裝、長褲，女性學員請著高領衣服，以利術科操作訓練。</w:t>
      </w:r>
    </w:p>
    <w:p w:rsidR="00CE2358" w:rsidRPr="00CE2358" w:rsidRDefault="00CE2358" w:rsidP="00CE2358">
      <w:pPr>
        <w:tabs>
          <w:tab w:val="left" w:pos="-3960"/>
          <w:tab w:val="left" w:pos="720"/>
        </w:tabs>
        <w:spacing w:line="500" w:lineRule="exact"/>
        <w:ind w:leftChars="2" w:left="565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</w:t>
      </w:r>
      <w:r w:rsidRPr="00CE2358">
        <w:rPr>
          <w:rFonts w:eastAsia="標楷體"/>
          <w:sz w:val="28"/>
          <w:szCs w:val="28"/>
        </w:rPr>
        <w:t>因本課程屬大量操作救護技術的教育訓練，加上希望學員在面對火災、救助、山難等狀況，能有足夠的體能與技術去處理危險，且搬運傷患亦需要能夠承受重量，故考量學員與病患之健康安全與符合法規考試規範，凡有心臟病、高</w:t>
      </w:r>
      <w:r w:rsidRPr="00CE2358">
        <w:rPr>
          <w:rFonts w:eastAsia="標楷體"/>
          <w:sz w:val="28"/>
          <w:szCs w:val="28"/>
        </w:rPr>
        <w:t>(</w:t>
      </w:r>
      <w:r w:rsidRPr="00CE2358">
        <w:rPr>
          <w:rFonts w:eastAsia="標楷體"/>
          <w:sz w:val="28"/>
          <w:szCs w:val="28"/>
        </w:rPr>
        <w:t>低</w:t>
      </w:r>
      <w:r w:rsidRPr="00CE2358">
        <w:rPr>
          <w:rFonts w:eastAsia="標楷體"/>
          <w:sz w:val="28"/>
          <w:szCs w:val="28"/>
        </w:rPr>
        <w:t>)</w:t>
      </w:r>
      <w:r w:rsidRPr="00CE2358">
        <w:rPr>
          <w:rFonts w:eastAsia="標楷體"/>
          <w:sz w:val="28"/>
          <w:szCs w:val="28"/>
        </w:rPr>
        <w:t>血壓、癲癇、傳染性疾病、肢體障礙、懷孕、膝蓋開刀等情狀，請勿報名參加課程</w:t>
      </w:r>
      <w:r>
        <w:rPr>
          <w:rFonts w:eastAsia="標楷體" w:hint="eastAsia"/>
          <w:sz w:val="28"/>
          <w:szCs w:val="28"/>
        </w:rPr>
        <w:t>，</w:t>
      </w:r>
      <w:r w:rsidRPr="00CE2358">
        <w:rPr>
          <w:rFonts w:eastAsia="標楷體"/>
          <w:sz w:val="28"/>
          <w:szCs w:val="28"/>
        </w:rPr>
        <w:t>如經查證有上述情狀者，將立即取消上課資格。</w:t>
      </w:r>
    </w:p>
    <w:p w:rsidR="00A17D1F" w:rsidRPr="00E607F1" w:rsidRDefault="000B3AA3" w:rsidP="002E4F10">
      <w:pPr>
        <w:tabs>
          <w:tab w:val="left" w:pos="851"/>
        </w:tabs>
        <w:spacing w:beforeLines="50" w:before="180" w:line="500" w:lineRule="exact"/>
        <w:ind w:left="561" w:hangingChars="200" w:hanging="561"/>
        <w:outlineLvl w:val="0"/>
        <w:rPr>
          <w:rFonts w:ascii="標楷體" w:eastAsia="標楷體" w:hAnsi="標楷體"/>
          <w:b/>
          <w:sz w:val="28"/>
        </w:rPr>
      </w:pPr>
      <w:r w:rsidRPr="002E4F10">
        <w:rPr>
          <w:rFonts w:ascii="標楷體" w:eastAsia="標楷體" w:hAnsi="標楷體" w:hint="eastAsia"/>
          <w:b/>
          <w:sz w:val="28"/>
        </w:rPr>
        <w:lastRenderedPageBreak/>
        <w:t>拾</w:t>
      </w:r>
      <w:r w:rsidR="007844E0" w:rsidRPr="002E4F10">
        <w:rPr>
          <w:rFonts w:ascii="標楷體" w:eastAsia="標楷體" w:hAnsi="標楷體" w:hint="eastAsia"/>
          <w:b/>
          <w:sz w:val="28"/>
        </w:rPr>
        <w:t>、</w:t>
      </w:r>
      <w:r w:rsidR="00B35FB1" w:rsidRPr="0067682C">
        <w:rPr>
          <w:rFonts w:ascii="標楷體" w:eastAsia="標楷體" w:hAnsi="標楷體"/>
          <w:b/>
          <w:sz w:val="28"/>
        </w:rPr>
        <w:t>訓練內容：</w:t>
      </w:r>
      <w:r w:rsidR="00A17D1F" w:rsidRPr="0067682C">
        <w:rPr>
          <w:rFonts w:ascii="標楷體" w:eastAsia="標楷體" w:hAnsi="標楷體"/>
          <w:b/>
          <w:sz w:val="28"/>
        </w:rPr>
        <w:t>附件</w:t>
      </w:r>
      <w:r w:rsidR="00A17D1F">
        <w:rPr>
          <w:rFonts w:ascii="標楷體" w:eastAsia="標楷體" w:hAnsi="標楷體" w:hint="eastAsia"/>
          <w:b/>
          <w:sz w:val="28"/>
        </w:rPr>
        <w:t>一</w:t>
      </w:r>
      <w:r w:rsidR="00A17D1F">
        <w:rPr>
          <w:rFonts w:ascii="標楷體" w:eastAsia="標楷體" w:hAnsi="標楷體"/>
          <w:b/>
          <w:sz w:val="28"/>
        </w:rPr>
        <w:t>為「課程表」</w:t>
      </w:r>
      <w:r w:rsidR="00E13BA9">
        <w:rPr>
          <w:rFonts w:ascii="標楷體" w:eastAsia="標楷體" w:hAnsi="標楷體" w:hint="eastAsia"/>
          <w:b/>
          <w:sz w:val="28"/>
        </w:rPr>
        <w:t>、附件二為「</w:t>
      </w:r>
      <w:r w:rsidR="00255274">
        <w:rPr>
          <w:rFonts w:ascii="標楷體" w:eastAsia="標楷體" w:hAnsi="標楷體" w:hint="eastAsia"/>
          <w:b/>
          <w:sz w:val="28"/>
        </w:rPr>
        <w:t>講師名冊</w:t>
      </w:r>
      <w:r w:rsidR="00E13BA9">
        <w:rPr>
          <w:rFonts w:ascii="標楷體" w:eastAsia="標楷體" w:hAnsi="標楷體" w:hint="eastAsia"/>
          <w:b/>
          <w:sz w:val="28"/>
        </w:rPr>
        <w:t>」</w:t>
      </w:r>
    </w:p>
    <w:p w:rsidR="00B35FB1" w:rsidRDefault="00B35FB1" w:rsidP="00A17D1F">
      <w:pPr>
        <w:tabs>
          <w:tab w:val="left" w:pos="851"/>
        </w:tabs>
        <w:spacing w:before="100" w:beforeAutospacing="1" w:line="500" w:lineRule="exact"/>
        <w:ind w:left="561" w:hangingChars="200" w:hanging="561"/>
        <w:outlineLvl w:val="0"/>
        <w:rPr>
          <w:rFonts w:ascii="標楷體" w:eastAsia="標楷體" w:hAnsi="標楷體"/>
          <w:b/>
          <w:sz w:val="28"/>
        </w:rPr>
      </w:pPr>
      <w:r w:rsidRPr="0067682C">
        <w:rPr>
          <w:rFonts w:ascii="標楷體" w:eastAsia="標楷體" w:hAnsi="標楷體"/>
          <w:b/>
          <w:sz w:val="28"/>
        </w:rPr>
        <w:t>拾</w:t>
      </w:r>
      <w:r w:rsidR="001D2E7B">
        <w:rPr>
          <w:rFonts w:ascii="標楷體" w:eastAsia="標楷體" w:hAnsi="標楷體" w:hint="eastAsia"/>
          <w:b/>
          <w:sz w:val="28"/>
        </w:rPr>
        <w:t>壹</w:t>
      </w:r>
      <w:r w:rsidRPr="0067682C">
        <w:rPr>
          <w:rFonts w:ascii="標楷體" w:eastAsia="標楷體" w:hAnsi="標楷體"/>
          <w:b/>
          <w:sz w:val="28"/>
        </w:rPr>
        <w:t>、本計劃呈主管機關核備，修改時亦同。</w:t>
      </w:r>
    </w:p>
    <w:p w:rsidR="00A06057" w:rsidRDefault="00A06057" w:rsidP="00260192">
      <w:pPr>
        <w:snapToGrid w:val="0"/>
        <w:spacing w:afterLines="50" w:after="180"/>
        <w:ind w:right="2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附件一：課程表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28"/>
        <w:gridCol w:w="5100"/>
        <w:gridCol w:w="1260"/>
        <w:gridCol w:w="1080"/>
      </w:tblGrid>
      <w:tr w:rsidR="002303B3" w:rsidRPr="00975221" w:rsidTr="002B7875">
        <w:trPr>
          <w:cantSplit/>
          <w:trHeight w:val="961"/>
        </w:trPr>
        <w:tc>
          <w:tcPr>
            <w:tcW w:w="10108" w:type="dxa"/>
            <w:gridSpan w:val="5"/>
            <w:vAlign w:val="center"/>
          </w:tcPr>
          <w:p w:rsidR="002303B3" w:rsidRPr="002C0CA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</w:t>
            </w:r>
            <w:r w:rsidRPr="007A05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國立屏東科技大學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初級救護技術員（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EMT-1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訓練課程表</w:t>
            </w:r>
          </w:p>
        </w:tc>
      </w:tr>
      <w:tr w:rsidR="002303B3" w:rsidRPr="00B50CD1" w:rsidTr="002B7875">
        <w:trPr>
          <w:cantSplit/>
          <w:trHeight w:val="701"/>
        </w:trPr>
        <w:tc>
          <w:tcPr>
            <w:tcW w:w="1340" w:type="dxa"/>
            <w:vAlign w:val="center"/>
          </w:tcPr>
          <w:p w:rsidR="002303B3" w:rsidRPr="00B50CD1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328" w:type="dxa"/>
            <w:vAlign w:val="center"/>
          </w:tcPr>
          <w:p w:rsidR="002303B3" w:rsidRPr="00B50CD1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5100" w:type="dxa"/>
            <w:vAlign w:val="center"/>
          </w:tcPr>
          <w:p w:rsidR="002303B3" w:rsidRPr="00B50CD1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課程內容</w:t>
            </w:r>
          </w:p>
        </w:tc>
        <w:tc>
          <w:tcPr>
            <w:tcW w:w="1260" w:type="dxa"/>
            <w:vAlign w:val="center"/>
          </w:tcPr>
          <w:p w:rsidR="002303B3" w:rsidRPr="00B50CD1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講師</w:t>
            </w:r>
          </w:p>
        </w:tc>
        <w:tc>
          <w:tcPr>
            <w:tcW w:w="1080" w:type="dxa"/>
            <w:vAlign w:val="center"/>
          </w:tcPr>
          <w:p w:rsidR="002303B3" w:rsidRPr="00B50CD1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50CD1">
              <w:rPr>
                <w:rFonts w:ascii="標楷體" w:eastAsia="標楷體" w:hAnsi="標楷體" w:hint="eastAsia"/>
                <w:b/>
                <w:bCs/>
              </w:rPr>
              <w:t>助教</w:t>
            </w:r>
          </w:p>
        </w:tc>
      </w:tr>
      <w:tr w:rsidR="002303B3" w:rsidRPr="00E13056" w:rsidTr="002B7875">
        <w:trPr>
          <w:cantSplit/>
          <w:trHeight w:val="669"/>
        </w:trPr>
        <w:tc>
          <w:tcPr>
            <w:tcW w:w="1340" w:type="dxa"/>
            <w:vMerge w:val="restart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9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</w:p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11/21</w:t>
            </w:r>
          </w:p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六</w:t>
            </w:r>
          </w:p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（第1天）</w:t>
            </w:r>
          </w:p>
        </w:tc>
        <w:tc>
          <w:tcPr>
            <w:tcW w:w="1328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0750-0800</w:t>
            </w:r>
          </w:p>
        </w:tc>
        <w:tc>
          <w:tcPr>
            <w:tcW w:w="5100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3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全體教官群</w:t>
            </w:r>
          </w:p>
        </w:tc>
      </w:tr>
      <w:tr w:rsidR="002303B3" w:rsidRPr="00E13056" w:rsidTr="002B7875">
        <w:trPr>
          <w:cantSplit/>
          <w:trHeight w:val="537"/>
        </w:trPr>
        <w:tc>
          <w:tcPr>
            <w:tcW w:w="134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80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0-08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5100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3D6346">
              <w:rPr>
                <w:rFonts w:ascii="標楷體" w:eastAsia="標楷體" w:hAnsi="標楷體" w:hint="eastAsia"/>
                <w:bCs/>
              </w:rPr>
              <w:t>開訓致詞</w:t>
            </w:r>
            <w:r>
              <w:rPr>
                <w:rFonts w:ascii="標楷體" w:eastAsia="標楷體" w:hAnsi="標楷體" w:hint="eastAsia"/>
                <w:bCs/>
              </w:rPr>
              <w:t>與團體照相拍攝留念</w:t>
            </w:r>
          </w:p>
        </w:tc>
        <w:tc>
          <w:tcPr>
            <w:tcW w:w="23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17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0830-0920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1.1緊急醫療救護體系概論（一）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台灣緊急醫療救護體系的沿革與展望</w:t>
            </w:r>
          </w:p>
        </w:tc>
        <w:tc>
          <w:tcPr>
            <w:tcW w:w="1260" w:type="dxa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林彥宇</w:t>
            </w:r>
          </w:p>
        </w:tc>
        <w:tc>
          <w:tcPr>
            <w:tcW w:w="1080" w:type="dxa"/>
            <w:vMerge w:val="restart"/>
            <w:vAlign w:val="center"/>
          </w:tcPr>
          <w:p w:rsidR="002303B3" w:rsidRPr="00CF20D6" w:rsidRDefault="00397908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許啟仲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鍾健琅</w:t>
            </w:r>
          </w:p>
        </w:tc>
      </w:tr>
      <w:tr w:rsidR="002303B3" w:rsidRPr="00CF20D6" w:rsidTr="002B7875">
        <w:trPr>
          <w:cantSplit/>
          <w:trHeight w:val="535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0930-1020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1.1緊急醫療救護體系概論（二）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緊急醫療救護的法規與運用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29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1030-1120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1.2人體構造與生命徵象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人體外觀與身體系統的簡介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97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1130-1220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1.2人體構造與生命徵象（一）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生命徵象(意識或葛氏昏迷指數、瞳孔、呼吸、脈搏)的測量與注意事項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97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1330-1420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1.2人體構造與生命徵象評估（二）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生命徵象(膚色、血壓及體溫)的測量與注意事項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1430-1520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eastAsia="標楷體" w:hAnsi="標楷體"/>
              </w:rPr>
            </w:pPr>
            <w:r w:rsidRPr="00CF20D6">
              <w:rPr>
                <w:rFonts w:eastAsia="標楷體" w:hAnsi="標楷體" w:hint="eastAsia"/>
              </w:rPr>
              <w:t>4.1</w:t>
            </w:r>
            <w:r w:rsidRPr="00CF20D6">
              <w:rPr>
                <w:rFonts w:eastAsia="標楷體" w:hAnsi="標楷體" w:hint="eastAsia"/>
              </w:rPr>
              <w:t>氧氣治療與抽吸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eastAsia="標楷體" w:hAnsi="標楷體"/>
                <w:sz w:val="20"/>
                <w:szCs w:val="20"/>
              </w:rPr>
              <w:t>抽吸器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與氧氣相關之各種器材的操作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1530-1620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3.1急症（非創傷）病人評估（一）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詢問病史、初步評估（ABCD）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737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1630-1720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3.1急症（非創傷）病人評估（二）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二度評估（ABCD）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19"/>
        </w:trPr>
        <w:tc>
          <w:tcPr>
            <w:tcW w:w="1340" w:type="dxa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CF20D6">
              <w:rPr>
                <w:rFonts w:ascii="標楷體" w:eastAsia="標楷體" w:hAnsi="標楷體" w:hint="eastAsia"/>
                <w:bCs/>
              </w:rPr>
              <w:t>年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</w:t>
            </w:r>
            <w:r w:rsidRPr="00CF20D6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22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星期</w:t>
            </w:r>
            <w:r>
              <w:rPr>
                <w:rFonts w:ascii="標楷體" w:eastAsia="標楷體" w:hAnsi="標楷體" w:hint="eastAsia"/>
                <w:bCs/>
              </w:rPr>
              <w:t>日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（第2天）</w:t>
            </w: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0800-0850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2.1成人心肺復甦術（一）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人工呼吸道的置入與袋瓣罩甦醒球人工呼吸</w:t>
            </w:r>
          </w:p>
        </w:tc>
        <w:tc>
          <w:tcPr>
            <w:tcW w:w="1260" w:type="dxa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楊俊傑</w:t>
            </w:r>
          </w:p>
        </w:tc>
        <w:tc>
          <w:tcPr>
            <w:tcW w:w="1080" w:type="dxa"/>
            <w:vMerge w:val="restart"/>
            <w:vAlign w:val="center"/>
          </w:tcPr>
          <w:p w:rsidR="002303B3" w:rsidRPr="00CF20D6" w:rsidRDefault="00464F76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陳宏哲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張天成</w:t>
            </w:r>
          </w:p>
        </w:tc>
      </w:tr>
      <w:tr w:rsidR="002303B3" w:rsidRPr="00CF20D6" w:rsidTr="002B7875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0900-0950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2.1成人心肺復甦術（二）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自動心臟電擊器的操作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519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1000-1050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2.1成人心肺復甦術（三）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復甦通用流程之演練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823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1100-1150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2.2異物哽塞及小兒心肺復甦術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1.異物哽塞的處置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2.各年齡層小兒心肺復甦術之比較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443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1330-1420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</w:rPr>
            </w:pPr>
            <w:r w:rsidRPr="00CF20D6">
              <w:rPr>
                <w:rFonts w:ascii="標楷體" w:eastAsia="標楷體" w:hAnsi="標楷體" w:hint="eastAsia"/>
              </w:rPr>
              <w:t>4.2</w:t>
            </w:r>
            <w:r w:rsidRPr="00CF20D6">
              <w:rPr>
                <w:rFonts w:ascii="標楷體" w:eastAsia="標楷體" w:hAnsi="標楷體"/>
              </w:rPr>
              <w:t>止血</w:t>
            </w:r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/>
              </w:rPr>
              <w:t>包紮與固定</w:t>
            </w:r>
            <w:r w:rsidRPr="00CF20D6">
              <w:rPr>
                <w:rFonts w:ascii="標楷體" w:eastAsia="標楷體" w:hAnsi="標楷體" w:hint="eastAsia"/>
              </w:rPr>
              <w:t>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F20D6">
              <w:rPr>
                <w:rFonts w:eastAsia="標楷體" w:hint="eastAsia"/>
                <w:sz w:val="20"/>
                <w:szCs w:val="20"/>
              </w:rPr>
              <w:t>紗布、繃帶、</w:t>
            </w:r>
            <w:r w:rsidRPr="00CF20D6">
              <w:rPr>
                <w:rFonts w:ascii="標楷體" w:eastAsia="標楷體" w:hAnsi="標楷體" w:hint="eastAsia"/>
                <w:sz w:val="20"/>
                <w:szCs w:val="20"/>
              </w:rPr>
              <w:t>三角巾與固定器材（夾板等）的使用與操作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715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1430-1520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</w:rPr>
            </w:pPr>
            <w:r w:rsidRPr="00CF20D6">
              <w:rPr>
                <w:rFonts w:ascii="標楷體" w:eastAsia="標楷體" w:hAnsi="標楷體" w:hint="eastAsia"/>
              </w:rPr>
              <w:t>4.2</w:t>
            </w:r>
            <w:r w:rsidRPr="00CF20D6">
              <w:rPr>
                <w:rFonts w:ascii="標楷體" w:eastAsia="標楷體" w:hAnsi="標楷體"/>
              </w:rPr>
              <w:t>止血</w:t>
            </w:r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/>
              </w:rPr>
              <w:t>包紮與固定</w:t>
            </w:r>
            <w:r w:rsidRPr="00CF20D6">
              <w:rPr>
                <w:rFonts w:ascii="標楷體" w:eastAsia="標楷體" w:hAnsi="標楷體" w:hint="eastAsia"/>
              </w:rPr>
              <w:t>（二）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F20D6">
              <w:rPr>
                <w:rFonts w:eastAsia="標楷體" w:hint="eastAsia"/>
                <w:sz w:val="20"/>
                <w:szCs w:val="20"/>
              </w:rPr>
              <w:t>紗布、繃帶、</w:t>
            </w:r>
            <w:r w:rsidRPr="00CF20D6">
              <w:rPr>
                <w:rFonts w:ascii="標楷體" w:eastAsia="標楷體" w:hAnsi="標楷體" w:hint="eastAsia"/>
                <w:sz w:val="20"/>
                <w:szCs w:val="20"/>
              </w:rPr>
              <w:t>三角巾與固定器材（夾板等）的使用與操作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706"/>
        </w:trPr>
        <w:tc>
          <w:tcPr>
            <w:tcW w:w="134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1530-1620</w:t>
            </w:r>
          </w:p>
        </w:tc>
        <w:tc>
          <w:tcPr>
            <w:tcW w:w="5100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3.2急症（創傷）病人評估（一）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詢問病史、初步評估（ABCDE）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303B3" w:rsidRPr="00CF20D6" w:rsidTr="002B7875">
        <w:trPr>
          <w:cantSplit/>
          <w:trHeight w:val="712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1630-1720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3.2急症（創傷）病人評估（二）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eastAsia="標楷體" w:hAnsi="標楷體"/>
                <w:sz w:val="20"/>
                <w:szCs w:val="20"/>
              </w:rPr>
              <w:t>二度評估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從頭到腳、從前面到後面的身體檢查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:rsidR="002303B3" w:rsidRPr="00CF20D6" w:rsidRDefault="002303B3" w:rsidP="002303B3">
      <w:pPr>
        <w:spacing w:line="40" w:lineRule="exact"/>
        <w:rPr>
          <w:rFonts w:ascii="標楷體" w:eastAsia="標楷體" w:hAnsi="標楷體"/>
          <w:sz w:val="26"/>
          <w:szCs w:val="26"/>
        </w:rPr>
      </w:pPr>
    </w:p>
    <w:p w:rsidR="002303B3" w:rsidRPr="00CF20D6" w:rsidRDefault="002303B3" w:rsidP="002303B3">
      <w:pPr>
        <w:spacing w:line="40" w:lineRule="exact"/>
        <w:rPr>
          <w:rFonts w:ascii="標楷體" w:eastAsia="標楷體" w:hAnsi="標楷體"/>
          <w:sz w:val="26"/>
          <w:szCs w:val="26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12"/>
        <w:gridCol w:w="1428"/>
        <w:gridCol w:w="63"/>
        <w:gridCol w:w="4929"/>
        <w:gridCol w:w="1260"/>
        <w:gridCol w:w="1080"/>
      </w:tblGrid>
      <w:tr w:rsidR="002303B3" w:rsidRPr="00CF20D6" w:rsidTr="002B7875">
        <w:trPr>
          <w:cantSplit/>
          <w:trHeight w:val="888"/>
        </w:trPr>
        <w:tc>
          <w:tcPr>
            <w:tcW w:w="10108" w:type="dxa"/>
            <w:gridSpan w:val="7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u w:val="single"/>
              </w:rPr>
            </w:pPr>
            <w:r w:rsidRPr="00CF20D6">
              <w:rPr>
                <w:sz w:val="144"/>
                <w:szCs w:val="144"/>
                <w:u w:val="single"/>
              </w:rPr>
              <w:br w:type="page"/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</w:t>
            </w:r>
            <w:r w:rsidRPr="007A05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國立屏東科技大學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初級救護技術員（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EMT-1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訓練課程表</w:t>
            </w:r>
          </w:p>
        </w:tc>
      </w:tr>
      <w:tr w:rsidR="002303B3" w:rsidRPr="00CF20D6" w:rsidTr="002B7875">
        <w:trPr>
          <w:cantSplit/>
          <w:trHeight w:val="712"/>
        </w:trPr>
        <w:tc>
          <w:tcPr>
            <w:tcW w:w="1348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260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080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</w:t>
            </w:r>
          </w:p>
        </w:tc>
      </w:tr>
      <w:tr w:rsidR="002303B3" w:rsidRPr="00CF20D6" w:rsidTr="002B7875">
        <w:trPr>
          <w:cantSplit/>
          <w:trHeight w:val="702"/>
        </w:trPr>
        <w:tc>
          <w:tcPr>
            <w:tcW w:w="1348" w:type="dxa"/>
            <w:gridSpan w:val="2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CF20D6">
              <w:rPr>
                <w:rFonts w:ascii="標楷體" w:eastAsia="標楷體" w:hAnsi="標楷體" w:hint="eastAsia"/>
                <w:bCs/>
              </w:rPr>
              <w:t>年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</w:t>
            </w:r>
            <w:r w:rsidRPr="00CF20D6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29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星期</w:t>
            </w:r>
            <w:r>
              <w:rPr>
                <w:rFonts w:ascii="標楷體" w:eastAsia="標楷體" w:hAnsi="標楷體" w:hint="eastAsia"/>
                <w:bCs/>
              </w:rPr>
              <w:t>日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（第3天）</w:t>
            </w: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0800-0850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4.3頸椎固定術</w:t>
            </w:r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 w:hint="eastAsia"/>
                <w:bCs/>
              </w:rPr>
              <w:t>脫除安全帽及上頸圈</w:t>
            </w:r>
          </w:p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eastAsia="標楷體" w:hint="eastAsia"/>
                <w:sz w:val="20"/>
                <w:szCs w:val="20"/>
              </w:rPr>
              <w:t>各種頸椎固定法的操作</w:t>
            </w:r>
          </w:p>
        </w:tc>
        <w:tc>
          <w:tcPr>
            <w:tcW w:w="1260" w:type="dxa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陳昭南</w:t>
            </w:r>
          </w:p>
        </w:tc>
        <w:tc>
          <w:tcPr>
            <w:tcW w:w="1080" w:type="dxa"/>
            <w:vMerge w:val="restart"/>
            <w:vAlign w:val="center"/>
          </w:tcPr>
          <w:p w:rsidR="002303B3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謝宗延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許</w:t>
            </w:r>
            <w:r w:rsidR="00397908">
              <w:rPr>
                <w:rFonts w:ascii="標楷體" w:eastAsia="標楷體" w:hAnsi="標楷體" w:hint="eastAsia"/>
                <w:bCs/>
                <w:sz w:val="20"/>
                <w:szCs w:val="20"/>
              </w:rPr>
              <w:t>百惠</w:t>
            </w:r>
          </w:p>
        </w:tc>
      </w:tr>
      <w:tr w:rsidR="002303B3" w:rsidRPr="00CF20D6" w:rsidTr="002B7875">
        <w:trPr>
          <w:cantSplit/>
          <w:trHeight w:val="709"/>
        </w:trPr>
        <w:tc>
          <w:tcPr>
            <w:tcW w:w="1348" w:type="dxa"/>
            <w:gridSpan w:val="2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0900-0950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4.3頸椎固定術</w:t>
            </w:r>
            <w:r w:rsidRPr="00CF20D6">
              <w:rPr>
                <w:rFonts w:ascii="標楷體" w:eastAsia="標楷體" w:hAnsi="標楷體" w:hint="eastAsia"/>
              </w:rPr>
              <w:t>、</w:t>
            </w:r>
            <w:r w:rsidRPr="00CF20D6">
              <w:rPr>
                <w:rFonts w:ascii="標楷體" w:eastAsia="標楷體" w:hAnsi="標楷體" w:hint="eastAsia"/>
                <w:bCs/>
              </w:rPr>
              <w:t>脫除安全帽及上頸圈</w:t>
            </w:r>
          </w:p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頭盔的去除及頸圈的使用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303B3" w:rsidRPr="00CF20D6" w:rsidTr="002B7875">
        <w:trPr>
          <w:cantSplit/>
          <w:trHeight w:val="715"/>
        </w:trPr>
        <w:tc>
          <w:tcPr>
            <w:tcW w:w="1348" w:type="dxa"/>
            <w:gridSpan w:val="2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1000-1050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4.4脊椎固定術（翻身）及上長背板</w:t>
            </w:r>
          </w:p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側躺或俯臥等翻成仰躺姿勢的操作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303B3" w:rsidRPr="00CF20D6" w:rsidTr="002B7875">
        <w:trPr>
          <w:cantSplit/>
          <w:trHeight w:val="707"/>
        </w:trPr>
        <w:tc>
          <w:tcPr>
            <w:tcW w:w="1348" w:type="dxa"/>
            <w:gridSpan w:val="2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1100-1150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4.4脊椎固定術（翻身）及上長背板</w:t>
            </w:r>
          </w:p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危急或非危急病人上長背板的操作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303B3" w:rsidRPr="00CF20D6" w:rsidTr="002B7875">
        <w:trPr>
          <w:cantSplit/>
          <w:trHeight w:val="712"/>
        </w:trPr>
        <w:tc>
          <w:tcPr>
            <w:tcW w:w="1348" w:type="dxa"/>
            <w:gridSpan w:val="2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1330-1420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4.5傷患搬運</w:t>
            </w:r>
          </w:p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徒手、搬運椅和長背板搬運、上下擔架床與上下救護車之操作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303B3" w:rsidRPr="00CF20D6" w:rsidTr="002B7875">
        <w:trPr>
          <w:cantSplit/>
          <w:trHeight w:val="885"/>
        </w:trPr>
        <w:tc>
          <w:tcPr>
            <w:tcW w:w="1348" w:type="dxa"/>
            <w:gridSpan w:val="2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1430-1520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4.6車內脫困</w:t>
            </w:r>
          </w:p>
          <w:p w:rsidR="002303B3" w:rsidRPr="00CF20D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使用脫困器材（KED）解救與脫困病人之操作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303B3" w:rsidRPr="00CF20D6" w:rsidTr="002B7875">
        <w:trPr>
          <w:cantSplit/>
          <w:trHeight w:val="709"/>
        </w:trPr>
        <w:tc>
          <w:tcPr>
            <w:tcW w:w="1348" w:type="dxa"/>
            <w:gridSpan w:val="2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1530-1620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5.1危急病人之現場救護（一）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危急病人現場救護流程的模擬演練</w:t>
            </w:r>
          </w:p>
        </w:tc>
        <w:tc>
          <w:tcPr>
            <w:tcW w:w="126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303B3" w:rsidRPr="00CF20D6" w:rsidTr="002B7875">
        <w:trPr>
          <w:cantSplit/>
          <w:trHeight w:val="881"/>
        </w:trPr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1630-1720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5.2非危急病人之現場救護（一）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非危急病人現場救護流程的模擬演練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303B3" w:rsidRPr="00CF20D6" w:rsidTr="002B7875">
        <w:trPr>
          <w:cantSplit/>
          <w:trHeight w:val="719"/>
        </w:trPr>
        <w:tc>
          <w:tcPr>
            <w:tcW w:w="1348" w:type="dxa"/>
            <w:gridSpan w:val="2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10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CF20D6">
              <w:rPr>
                <w:rFonts w:ascii="標楷體" w:eastAsia="標楷體" w:hAnsi="標楷體" w:hint="eastAsia"/>
                <w:bCs/>
              </w:rPr>
              <w:t>年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 w:rsidRPr="00CF20D6">
              <w:rPr>
                <w:rFonts w:ascii="標楷體" w:eastAsia="標楷體" w:hAnsi="標楷體" w:hint="eastAsia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星期</w:t>
            </w:r>
            <w:r>
              <w:rPr>
                <w:rFonts w:ascii="標楷體" w:eastAsia="標楷體" w:hAnsi="標楷體" w:hint="eastAsia"/>
                <w:bCs/>
              </w:rPr>
              <w:t>六</w:t>
            </w:r>
          </w:p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（第4天）</w:t>
            </w:r>
          </w:p>
        </w:tc>
        <w:tc>
          <w:tcPr>
            <w:tcW w:w="1491" w:type="dxa"/>
            <w:gridSpan w:val="2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0800-0850</w:t>
            </w:r>
          </w:p>
        </w:tc>
        <w:tc>
          <w:tcPr>
            <w:tcW w:w="4929" w:type="dxa"/>
            <w:vAlign w:val="center"/>
          </w:tcPr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</w:rPr>
              <w:t>6.1常見急症的處置（一）</w:t>
            </w:r>
          </w:p>
          <w:p w:rsidR="002303B3" w:rsidRPr="00CF20D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喘、休克或中風等常見急症處置</w:t>
            </w:r>
            <w:r w:rsidRPr="00CF20D6">
              <w:rPr>
                <w:rFonts w:eastAsia="標楷體" w:hAnsi="標楷體" w:hint="eastAsia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20D6">
              <w:rPr>
                <w:rFonts w:ascii="標楷體" w:eastAsia="標楷體" w:hAnsi="標楷體" w:hint="eastAsia"/>
                <w:bCs/>
                <w:sz w:val="20"/>
                <w:szCs w:val="20"/>
              </w:rPr>
              <w:t>楊俊傑</w:t>
            </w:r>
          </w:p>
        </w:tc>
        <w:tc>
          <w:tcPr>
            <w:tcW w:w="1080" w:type="dxa"/>
            <w:vMerge w:val="restart"/>
            <w:vAlign w:val="center"/>
          </w:tcPr>
          <w:p w:rsidR="002303B3" w:rsidRPr="00CF20D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張天成</w:t>
            </w:r>
          </w:p>
          <w:p w:rsidR="002303B3" w:rsidRPr="006D192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許啟仲</w:t>
            </w:r>
          </w:p>
        </w:tc>
      </w:tr>
      <w:tr w:rsidR="002303B3" w:rsidRPr="00E13056" w:rsidTr="002B7875">
        <w:trPr>
          <w:cantSplit/>
          <w:trHeight w:val="598"/>
        </w:trPr>
        <w:tc>
          <w:tcPr>
            <w:tcW w:w="1348" w:type="dxa"/>
            <w:gridSpan w:val="2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0900-0950</w:t>
            </w:r>
          </w:p>
        </w:tc>
        <w:tc>
          <w:tcPr>
            <w:tcW w:w="4929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6.1常見急症的處置（二）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喘、休克或中風等常見急症處置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648"/>
        </w:trPr>
        <w:tc>
          <w:tcPr>
            <w:tcW w:w="1348" w:type="dxa"/>
            <w:gridSpan w:val="2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1000-1050</w:t>
            </w:r>
          </w:p>
        </w:tc>
        <w:tc>
          <w:tcPr>
            <w:tcW w:w="4929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6.1常見急症的處置（三）</w:t>
            </w:r>
          </w:p>
          <w:p w:rsidR="002303B3" w:rsidRPr="00E13056" w:rsidRDefault="002303B3" w:rsidP="002B7875">
            <w:pPr>
              <w:spacing w:line="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喘、休克或中風等常見急症處置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877"/>
        </w:trPr>
        <w:tc>
          <w:tcPr>
            <w:tcW w:w="1348" w:type="dxa"/>
            <w:gridSpan w:val="2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1100-1150</w:t>
            </w:r>
          </w:p>
        </w:tc>
        <w:tc>
          <w:tcPr>
            <w:tcW w:w="4929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6.2常見創傷的處置（一）</w:t>
            </w:r>
          </w:p>
          <w:p w:rsidR="002303B3" w:rsidRPr="00E13056" w:rsidRDefault="002303B3" w:rsidP="002B7875">
            <w:pPr>
              <w:spacing w:line="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車禍、溺水、灼燙傷、骨折或胸腹部創傷等常見創傷處置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595"/>
        </w:trPr>
        <w:tc>
          <w:tcPr>
            <w:tcW w:w="1348" w:type="dxa"/>
            <w:gridSpan w:val="2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1330-1420</w:t>
            </w:r>
          </w:p>
        </w:tc>
        <w:tc>
          <w:tcPr>
            <w:tcW w:w="4929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6.2常見創傷的處置（二）</w:t>
            </w:r>
          </w:p>
          <w:p w:rsidR="002303B3" w:rsidRPr="00E13056" w:rsidRDefault="002303B3" w:rsidP="002B7875">
            <w:pPr>
              <w:spacing w:line="0" w:lineRule="atLeas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車禍、溺水、灼燙傷、骨折或胸腹部創傷等常見創傷處置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534"/>
        </w:trPr>
        <w:tc>
          <w:tcPr>
            <w:tcW w:w="1348" w:type="dxa"/>
            <w:gridSpan w:val="2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1430-1520</w:t>
            </w:r>
          </w:p>
        </w:tc>
        <w:tc>
          <w:tcPr>
            <w:tcW w:w="4929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6.2常見創傷的處置（三）</w:t>
            </w:r>
          </w:p>
          <w:p w:rsidR="002303B3" w:rsidRPr="00E13056" w:rsidRDefault="002303B3" w:rsidP="002B7875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車禍、溺水、灼燙傷、骨折或胸腹部創傷等常見創傷處置</w:t>
            </w: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流程的演練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699"/>
        </w:trPr>
        <w:tc>
          <w:tcPr>
            <w:tcW w:w="1348" w:type="dxa"/>
            <w:gridSpan w:val="2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1530-1620</w:t>
            </w:r>
          </w:p>
        </w:tc>
        <w:tc>
          <w:tcPr>
            <w:tcW w:w="4929" w:type="dxa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6.3</w:t>
            </w:r>
            <w:r w:rsidRPr="00E13056">
              <w:rPr>
                <w:rFonts w:eastAsia="標楷體" w:hAnsi="標楷體" w:hint="eastAsia"/>
                <w:color w:val="000000"/>
              </w:rPr>
              <w:t>特殊病人與狀況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eastAsia="標楷體" w:hAnsi="標楷體" w:hint="eastAsia"/>
                <w:color w:val="000000"/>
                <w:sz w:val="20"/>
                <w:szCs w:val="20"/>
              </w:rPr>
              <w:t>認識小兒、孕婦或老人等特殊病人與常見狀況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1070"/>
        </w:trPr>
        <w:tc>
          <w:tcPr>
            <w:tcW w:w="1348" w:type="dxa"/>
            <w:gridSpan w:val="2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1630-1720</w:t>
            </w:r>
          </w:p>
        </w:tc>
        <w:tc>
          <w:tcPr>
            <w:tcW w:w="4929" w:type="dxa"/>
            <w:vAlign w:val="center"/>
          </w:tcPr>
          <w:p w:rsidR="002303B3" w:rsidRPr="00E13056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6.4大量傷病患與檢傷分類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大量傷病患的定義與檢傷分類原則的簡介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888"/>
        </w:trPr>
        <w:tc>
          <w:tcPr>
            <w:tcW w:w="10108" w:type="dxa"/>
            <w:gridSpan w:val="7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</w:t>
            </w:r>
            <w:r w:rsidRPr="007A05C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國立屏東科技大學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初級救護技術員（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EMT-1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Pr="002C0C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訓練課程表</w:t>
            </w:r>
          </w:p>
        </w:tc>
      </w:tr>
      <w:tr w:rsidR="002303B3" w:rsidRPr="00E13056" w:rsidTr="002B7875">
        <w:trPr>
          <w:cantSplit/>
          <w:trHeight w:val="712"/>
        </w:trPr>
        <w:tc>
          <w:tcPr>
            <w:tcW w:w="1336" w:type="dxa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260" w:type="dxa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080" w:type="dxa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助教</w:t>
            </w:r>
          </w:p>
        </w:tc>
      </w:tr>
      <w:tr w:rsidR="002303B3" w:rsidRPr="00E13056" w:rsidTr="002B7875">
        <w:trPr>
          <w:cantSplit/>
          <w:trHeight w:val="722"/>
        </w:trPr>
        <w:tc>
          <w:tcPr>
            <w:tcW w:w="1336" w:type="dxa"/>
            <w:vMerge w:val="restart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9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</w:p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12/13</w:t>
            </w:r>
          </w:p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（第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天）</w:t>
            </w: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0800-0850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3.3</w:t>
            </w:r>
            <w:r w:rsidRPr="00E13056">
              <w:rPr>
                <w:rFonts w:ascii="標楷體" w:eastAsia="標楷體" w:hAnsi="標楷體"/>
                <w:color w:val="000000"/>
              </w:rPr>
              <w:t>通報與紀錄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無線電</w:t>
            </w:r>
            <w:r w:rsidRPr="00E13056">
              <w:rPr>
                <w:rFonts w:ascii="標楷體" w:eastAsia="標楷體" w:hAnsi="標楷體"/>
                <w:color w:val="000000"/>
                <w:sz w:val="20"/>
                <w:szCs w:val="20"/>
              </w:rPr>
              <w:t>報</w:t>
            </w:r>
            <w:r w:rsidRPr="00E130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告</w:t>
            </w:r>
            <w:r w:rsidRPr="00E13056">
              <w:rPr>
                <w:rFonts w:ascii="標楷體" w:eastAsia="標楷體" w:hAnsi="標楷體"/>
                <w:color w:val="000000"/>
                <w:sz w:val="20"/>
                <w:szCs w:val="20"/>
              </w:rPr>
              <w:t>與救護紀錄表填寫</w:t>
            </w:r>
          </w:p>
        </w:tc>
        <w:tc>
          <w:tcPr>
            <w:tcW w:w="1260" w:type="dxa"/>
            <w:vMerge w:val="restart"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張天成</w:t>
            </w:r>
          </w:p>
        </w:tc>
        <w:tc>
          <w:tcPr>
            <w:tcW w:w="1080" w:type="dxa"/>
            <w:vMerge w:val="restart"/>
            <w:vAlign w:val="center"/>
          </w:tcPr>
          <w:p w:rsidR="002303B3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許啟仲</w:t>
            </w:r>
          </w:p>
          <w:p w:rsidR="002303B3" w:rsidRPr="00771B7C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鍾健琅</w:t>
            </w:r>
          </w:p>
        </w:tc>
      </w:tr>
      <w:tr w:rsidR="002303B3" w:rsidRPr="00E13056" w:rsidTr="002B7875">
        <w:trPr>
          <w:cantSplit/>
          <w:trHeight w:val="701"/>
        </w:trPr>
        <w:tc>
          <w:tcPr>
            <w:tcW w:w="1336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0900-0950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5.1危急病人之現場救護（二）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危急病人現場救護流程的模擬演練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707"/>
        </w:trPr>
        <w:tc>
          <w:tcPr>
            <w:tcW w:w="1336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1000-1050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5.2非危急病人之現場救護（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非危急病人現場救護流程的模擬演練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712"/>
        </w:trPr>
        <w:tc>
          <w:tcPr>
            <w:tcW w:w="1336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1100-1150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5.3轉送途中（救護車內）之救護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救護車內救護流程的模擬演練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2303B3" w:rsidRPr="00E13056" w:rsidTr="002B7875">
        <w:trPr>
          <w:cantSplit/>
          <w:trHeight w:val="705"/>
        </w:trPr>
        <w:tc>
          <w:tcPr>
            <w:tcW w:w="1336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1330-1420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13056">
              <w:rPr>
                <w:rFonts w:ascii="標楷體" w:eastAsia="標楷體" w:hAnsi="標楷體" w:hint="eastAsia"/>
                <w:color w:val="000000"/>
              </w:rPr>
              <w:t>5.4到達醫院（下救護車）之救護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到達醫院後救護流程的模擬演練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303B3" w:rsidRPr="00E13056" w:rsidTr="002B7875">
        <w:trPr>
          <w:cantSplit/>
          <w:trHeight w:val="711"/>
        </w:trPr>
        <w:tc>
          <w:tcPr>
            <w:tcW w:w="1336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1430-1520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7.1測驗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筆試測驗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303B3" w:rsidRPr="00E13056" w:rsidTr="002B7875">
        <w:trPr>
          <w:cantSplit/>
          <w:trHeight w:val="717"/>
        </w:trPr>
        <w:tc>
          <w:tcPr>
            <w:tcW w:w="1336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1530-1620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7.1測驗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技術測驗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303B3" w:rsidRPr="00E13056" w:rsidTr="002B7875">
        <w:trPr>
          <w:cantSplit/>
          <w:trHeight w:val="874"/>
        </w:trPr>
        <w:tc>
          <w:tcPr>
            <w:tcW w:w="1336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1630-1720</w:t>
            </w:r>
          </w:p>
        </w:tc>
        <w:tc>
          <w:tcPr>
            <w:tcW w:w="4992" w:type="dxa"/>
            <w:gridSpan w:val="2"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</w:rPr>
              <w:t>7.1測驗</w:t>
            </w:r>
          </w:p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1305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技術測驗</w:t>
            </w:r>
          </w:p>
        </w:tc>
        <w:tc>
          <w:tcPr>
            <w:tcW w:w="126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2303B3" w:rsidRPr="00E13056" w:rsidRDefault="002303B3" w:rsidP="002B787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2303B3" w:rsidRDefault="002303B3" w:rsidP="002303B3">
      <w:pPr>
        <w:tabs>
          <w:tab w:val="left" w:pos="3900"/>
        </w:tabs>
        <w:snapToGrid w:val="0"/>
        <w:spacing w:afterLines="50" w:after="180" w:line="520" w:lineRule="exact"/>
        <w:rPr>
          <w:rFonts w:ascii="標楷體" w:eastAsia="標楷體" w:hAnsi="標楷體"/>
          <w:sz w:val="32"/>
          <w:szCs w:val="32"/>
        </w:rPr>
      </w:pPr>
    </w:p>
    <w:p w:rsidR="002303B3" w:rsidRPr="00463A98" w:rsidRDefault="002303B3" w:rsidP="002303B3">
      <w:pPr>
        <w:tabs>
          <w:tab w:val="left" w:pos="3900"/>
        </w:tabs>
        <w:snapToGrid w:val="0"/>
        <w:spacing w:afterLines="50" w:after="180"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附件二：</w:t>
      </w:r>
      <w:r w:rsidRPr="00463A98">
        <w:rPr>
          <w:rFonts w:ascii="標楷體" w:eastAsia="標楷體" w:hAnsi="標楷體" w:hint="eastAsia"/>
          <w:sz w:val="32"/>
          <w:szCs w:val="32"/>
        </w:rPr>
        <w:t>初級救護技術員</w:t>
      </w:r>
      <w:r w:rsidRPr="00463A98">
        <w:rPr>
          <w:rFonts w:ascii="標楷體" w:eastAsia="標楷體" w:hAnsi="標楷體"/>
          <w:sz w:val="32"/>
          <w:szCs w:val="32"/>
        </w:rPr>
        <w:t>「師資簡介」</w:t>
      </w:r>
    </w:p>
    <w:tbl>
      <w:tblPr>
        <w:tblStyle w:val="a5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1939"/>
        <w:gridCol w:w="7689"/>
      </w:tblGrid>
      <w:tr w:rsidR="002303B3" w:rsidTr="002B7875">
        <w:trPr>
          <w:trHeight w:val="558"/>
        </w:trPr>
        <w:tc>
          <w:tcPr>
            <w:tcW w:w="1951" w:type="dxa"/>
          </w:tcPr>
          <w:p w:rsidR="002303B3" w:rsidRDefault="002303B3" w:rsidP="002B7875">
            <w:pPr>
              <w:tabs>
                <w:tab w:val="left" w:pos="3900"/>
              </w:tabs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74A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743" w:type="dxa"/>
          </w:tcPr>
          <w:p w:rsidR="002303B3" w:rsidRDefault="002303B3" w:rsidP="002B7875">
            <w:pPr>
              <w:tabs>
                <w:tab w:val="left" w:pos="3900"/>
              </w:tabs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574A">
              <w:rPr>
                <w:rFonts w:ascii="標楷體" w:eastAsia="標楷體" w:hAnsi="標楷體" w:hint="eastAsia"/>
                <w:b/>
                <w:sz w:val="28"/>
                <w:szCs w:val="28"/>
              </w:rPr>
              <w:t>簡介</w:t>
            </w:r>
          </w:p>
        </w:tc>
      </w:tr>
      <w:tr w:rsidR="002303B3" w:rsidTr="002B7875">
        <w:tc>
          <w:tcPr>
            <w:tcW w:w="1951" w:type="dxa"/>
            <w:vAlign w:val="center"/>
          </w:tcPr>
          <w:p w:rsidR="002303B3" w:rsidRPr="00AF574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  <w:r w:rsidRPr="00391C8A">
              <w:rPr>
                <w:rFonts w:ascii="標楷體" w:eastAsia="標楷體" w:hAnsi="標楷體" w:hint="eastAsia"/>
                <w:sz w:val="28"/>
                <w:szCs w:val="28"/>
              </w:rPr>
              <w:t>毓宏</w:t>
            </w:r>
          </w:p>
        </w:tc>
        <w:tc>
          <w:tcPr>
            <w:tcW w:w="7743" w:type="dxa"/>
          </w:tcPr>
          <w:p w:rsidR="002303B3" w:rsidRPr="00AF574A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急診醫學科主任</w:t>
            </w:r>
          </w:p>
        </w:tc>
      </w:tr>
      <w:tr w:rsidR="002303B3" w:rsidTr="002B7875">
        <w:tc>
          <w:tcPr>
            <w:tcW w:w="1951" w:type="dxa"/>
            <w:vAlign w:val="center"/>
          </w:tcPr>
          <w:p w:rsidR="002303B3" w:rsidRPr="00AF574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蕭韻倩</w:t>
            </w:r>
          </w:p>
        </w:tc>
        <w:tc>
          <w:tcPr>
            <w:tcW w:w="7743" w:type="dxa"/>
          </w:tcPr>
          <w:p w:rsidR="002303B3" w:rsidRPr="00AF574A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2303B3" w:rsidRPr="009C2787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院到院前救護中心副主任</w:t>
            </w:r>
          </w:p>
        </w:tc>
      </w:tr>
      <w:tr w:rsidR="002303B3" w:rsidTr="002B7875">
        <w:tc>
          <w:tcPr>
            <w:tcW w:w="1951" w:type="dxa"/>
            <w:vAlign w:val="center"/>
          </w:tcPr>
          <w:p w:rsidR="002303B3" w:rsidRPr="00AF574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張天成</w:t>
            </w:r>
          </w:p>
        </w:tc>
        <w:tc>
          <w:tcPr>
            <w:tcW w:w="7743" w:type="dxa"/>
          </w:tcPr>
          <w:p w:rsidR="002303B3" w:rsidRPr="006F7AFB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F7AFB">
              <w:rPr>
                <w:rFonts w:ascii="標楷體" w:eastAsia="標楷體" w:hAnsi="標楷體" w:hint="eastAsia"/>
                <w:sz w:val="28"/>
                <w:szCs w:val="28"/>
              </w:rPr>
              <w:t>護理師/EMT-2/基本救命術指導員/緊急醫療救護訓練</w:t>
            </w:r>
          </w:p>
          <w:p w:rsidR="002303B3" w:rsidRPr="006F7AFB" w:rsidRDefault="002303B3" w:rsidP="002B7875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AFB">
              <w:rPr>
                <w:rFonts w:ascii="標楷體" w:eastAsia="標楷體" w:hAnsi="標楷體" w:hint="eastAsia"/>
                <w:sz w:val="28"/>
                <w:szCs w:val="28"/>
              </w:rPr>
              <w:t>助教班/緊急醫療救護訓練教官班</w:t>
            </w:r>
          </w:p>
          <w:p w:rsidR="002303B3" w:rsidRPr="00E157B8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到院前救護中心督導</w:t>
            </w:r>
          </w:p>
          <w:p w:rsidR="002303B3" w:rsidRPr="009C2787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3.教育部部定講師</w:t>
            </w:r>
          </w:p>
        </w:tc>
      </w:tr>
      <w:tr w:rsidR="002303B3" w:rsidTr="002B7875">
        <w:tc>
          <w:tcPr>
            <w:tcW w:w="1951" w:type="dxa"/>
            <w:vAlign w:val="center"/>
          </w:tcPr>
          <w:p w:rsidR="002303B3" w:rsidRPr="00AF574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楊俊傑</w:t>
            </w:r>
          </w:p>
        </w:tc>
        <w:tc>
          <w:tcPr>
            <w:tcW w:w="7743" w:type="dxa"/>
          </w:tcPr>
          <w:p w:rsidR="002303B3" w:rsidRPr="00AF574A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EMT-P/緊急救護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助教班/緊急救護訓練教官班</w:t>
            </w:r>
          </w:p>
          <w:p w:rsidR="002303B3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到院前救護中心專員</w:t>
            </w:r>
          </w:p>
          <w:p w:rsidR="002303B3" w:rsidRPr="009C2787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3.教育部部定講師</w:t>
            </w:r>
          </w:p>
        </w:tc>
      </w:tr>
      <w:tr w:rsidR="002303B3" w:rsidTr="002B7875">
        <w:tc>
          <w:tcPr>
            <w:tcW w:w="1951" w:type="dxa"/>
            <w:vAlign w:val="center"/>
          </w:tcPr>
          <w:p w:rsidR="002303B3" w:rsidRPr="00AF574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陳昭南</w:t>
            </w:r>
          </w:p>
        </w:tc>
        <w:tc>
          <w:tcPr>
            <w:tcW w:w="7743" w:type="dxa"/>
          </w:tcPr>
          <w:p w:rsidR="002303B3" w:rsidRPr="006B2582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EMT-P/緊急醫療救護訓練助教班/緊急醫療救護訓練教官班</w:t>
            </w:r>
          </w:p>
          <w:p w:rsidR="002303B3" w:rsidRPr="009C2787" w:rsidRDefault="002303B3" w:rsidP="002B7875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303B3" w:rsidTr="002B7875">
        <w:tc>
          <w:tcPr>
            <w:tcW w:w="1951" w:type="dxa"/>
            <w:vAlign w:val="center"/>
          </w:tcPr>
          <w:p w:rsidR="002303B3" w:rsidRPr="00AF574A" w:rsidRDefault="002303B3" w:rsidP="002B787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林彥宇</w:t>
            </w:r>
          </w:p>
        </w:tc>
        <w:tc>
          <w:tcPr>
            <w:tcW w:w="7743" w:type="dxa"/>
          </w:tcPr>
          <w:p w:rsidR="002303B3" w:rsidRPr="006B2582" w:rsidRDefault="002303B3" w:rsidP="002B78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EMT-P/緊急醫療救護訓練助教班/緊急醫療救護訓練教官班</w:t>
            </w:r>
          </w:p>
          <w:p w:rsidR="002303B3" w:rsidRDefault="002303B3" w:rsidP="002B7875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2303B3" w:rsidRPr="009C2787" w:rsidRDefault="002303B3" w:rsidP="002B7875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3.大仁科技大學消防安全學士學位學程兼任講師</w:t>
            </w:r>
          </w:p>
        </w:tc>
      </w:tr>
      <w:tr w:rsidR="00464F76" w:rsidTr="002B7875">
        <w:tc>
          <w:tcPr>
            <w:tcW w:w="1951" w:type="dxa"/>
            <w:vAlign w:val="center"/>
          </w:tcPr>
          <w:p w:rsidR="00464F76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486415">
              <w:rPr>
                <w:rFonts w:ascii="標楷體" w:eastAsia="標楷體" w:hAnsi="標楷體" w:hint="eastAsia"/>
                <w:sz w:val="28"/>
                <w:szCs w:val="28"/>
              </w:rPr>
              <w:t>信宏</w:t>
            </w:r>
          </w:p>
        </w:tc>
        <w:tc>
          <w:tcPr>
            <w:tcW w:w="7743" w:type="dxa"/>
          </w:tcPr>
          <w:p w:rsidR="00464F76" w:rsidRPr="006B2582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EMT-P/緊急醫療救護訓練助教班/緊急醫療救護訓練教官班</w:t>
            </w:r>
          </w:p>
          <w:p w:rsidR="00464F76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院到院前救護中心志工講師</w:t>
            </w:r>
          </w:p>
        </w:tc>
      </w:tr>
      <w:tr w:rsidR="00464F76" w:rsidTr="002B7875">
        <w:tc>
          <w:tcPr>
            <w:tcW w:w="1951" w:type="dxa"/>
            <w:vAlign w:val="center"/>
          </w:tcPr>
          <w:p w:rsidR="00464F76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陳宏哲</w:t>
            </w:r>
          </w:p>
        </w:tc>
        <w:tc>
          <w:tcPr>
            <w:tcW w:w="7743" w:type="dxa"/>
          </w:tcPr>
          <w:p w:rsidR="00464F76" w:rsidRPr="006B2582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EMT-P/緊急醫療救護訓練助教班/緊急醫療救護訓練教官班</w:t>
            </w:r>
          </w:p>
          <w:p w:rsidR="00464F76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院到院前救護中心志工講師</w:t>
            </w:r>
          </w:p>
        </w:tc>
      </w:tr>
      <w:tr w:rsidR="00464F76" w:rsidTr="002B7875">
        <w:trPr>
          <w:trHeight w:val="1939"/>
        </w:trPr>
        <w:tc>
          <w:tcPr>
            <w:tcW w:w="1951" w:type="dxa"/>
            <w:vAlign w:val="center"/>
          </w:tcPr>
          <w:p w:rsidR="00464F76" w:rsidRPr="00AF574A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  <w:r w:rsidRPr="00AF574A">
              <w:rPr>
                <w:rFonts w:ascii="標楷體" w:eastAsia="標楷體" w:hAnsi="標楷體"/>
                <w:sz w:val="28"/>
                <w:szCs w:val="28"/>
              </w:rPr>
              <w:t>文祥</w:t>
            </w:r>
          </w:p>
        </w:tc>
        <w:tc>
          <w:tcPr>
            <w:tcW w:w="7743" w:type="dxa"/>
          </w:tcPr>
          <w:p w:rsidR="00464F76" w:rsidRDefault="00464F76" w:rsidP="00464F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EMT-P</w:t>
            </w:r>
            <w:r w:rsidRPr="004D619D">
              <w:rPr>
                <w:rFonts w:ascii="標楷體" w:eastAsia="標楷體" w:hAnsi="標楷體" w:hint="eastAsia"/>
                <w:sz w:val="28"/>
                <w:szCs w:val="28"/>
              </w:rPr>
              <w:t>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464F76" w:rsidRDefault="00464F76" w:rsidP="00464F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2.空中傷患後送分隊航空救護員</w:t>
            </w:r>
          </w:p>
          <w:p w:rsidR="00464F76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464F76" w:rsidRPr="004D619D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4.教育部部定講師</w:t>
            </w:r>
          </w:p>
        </w:tc>
      </w:tr>
      <w:tr w:rsidR="00464F76" w:rsidTr="002B7875">
        <w:tc>
          <w:tcPr>
            <w:tcW w:w="1951" w:type="dxa"/>
            <w:vAlign w:val="center"/>
          </w:tcPr>
          <w:p w:rsidR="00464F76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賴玉麟</w:t>
            </w:r>
          </w:p>
        </w:tc>
        <w:tc>
          <w:tcPr>
            <w:tcW w:w="7743" w:type="dxa"/>
          </w:tcPr>
          <w:p w:rsidR="00464F76" w:rsidRPr="009E3806" w:rsidRDefault="00464F76" w:rsidP="00464F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EMT-2/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藥師/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基本救命術指導員/緊急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464F76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464F76" w:rsidRPr="00F21E47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3.教育部部定講師</w:t>
            </w:r>
          </w:p>
        </w:tc>
      </w:tr>
      <w:tr w:rsidR="00464F76" w:rsidTr="002B7875">
        <w:tc>
          <w:tcPr>
            <w:tcW w:w="1951" w:type="dxa"/>
            <w:vAlign w:val="center"/>
          </w:tcPr>
          <w:p w:rsidR="00464F76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鍾健琅</w:t>
            </w:r>
          </w:p>
        </w:tc>
        <w:tc>
          <w:tcPr>
            <w:tcW w:w="7743" w:type="dxa"/>
          </w:tcPr>
          <w:p w:rsidR="00464F76" w:rsidRDefault="00464F76" w:rsidP="00464F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E3806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464F76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464F76" w:rsidRPr="00F21E47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3.教育部部定講師</w:t>
            </w:r>
          </w:p>
        </w:tc>
      </w:tr>
      <w:tr w:rsidR="00464F76" w:rsidTr="002B7875">
        <w:trPr>
          <w:trHeight w:val="1387"/>
        </w:trPr>
        <w:tc>
          <w:tcPr>
            <w:tcW w:w="1951" w:type="dxa"/>
            <w:vAlign w:val="center"/>
          </w:tcPr>
          <w:p w:rsidR="00464F76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徐玉容</w:t>
            </w:r>
          </w:p>
        </w:tc>
        <w:tc>
          <w:tcPr>
            <w:tcW w:w="7743" w:type="dxa"/>
          </w:tcPr>
          <w:p w:rsidR="00464F76" w:rsidRDefault="00464F76" w:rsidP="00464F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E3806">
              <w:rPr>
                <w:rFonts w:ascii="標楷體" w:eastAsia="標楷體" w:hAnsi="標楷體" w:hint="eastAsia"/>
                <w:sz w:val="28"/>
                <w:szCs w:val="28"/>
              </w:rPr>
              <w:t>護理師/基本救命術指導員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464F76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  <w:p w:rsidR="00464F76" w:rsidRPr="00F21E47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3.大仁科技大學休閒運動管理系兼任講師</w:t>
            </w:r>
          </w:p>
        </w:tc>
      </w:tr>
      <w:tr w:rsidR="00464F76" w:rsidTr="002B7875">
        <w:tc>
          <w:tcPr>
            <w:tcW w:w="1951" w:type="dxa"/>
            <w:vAlign w:val="center"/>
          </w:tcPr>
          <w:p w:rsidR="00464F76" w:rsidRPr="00AF574A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許啟仲</w:t>
            </w:r>
          </w:p>
        </w:tc>
        <w:tc>
          <w:tcPr>
            <w:tcW w:w="7743" w:type="dxa"/>
          </w:tcPr>
          <w:p w:rsidR="00464F76" w:rsidRDefault="00464F76" w:rsidP="00464F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D619D">
              <w:rPr>
                <w:rFonts w:ascii="標楷體" w:eastAsia="標楷體" w:hAnsi="標楷體" w:hint="eastAsia"/>
                <w:sz w:val="28"/>
                <w:szCs w:val="28"/>
              </w:rPr>
              <w:t>EMT-2/基本救命術指導員</w:t>
            </w:r>
          </w:p>
          <w:p w:rsidR="00464F76" w:rsidRPr="00167E39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64F76" w:rsidTr="002B7875">
        <w:tc>
          <w:tcPr>
            <w:tcW w:w="1951" w:type="dxa"/>
            <w:vAlign w:val="center"/>
          </w:tcPr>
          <w:p w:rsidR="00464F76" w:rsidRDefault="00464F76" w:rsidP="00464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許百惠</w:t>
            </w:r>
          </w:p>
        </w:tc>
        <w:tc>
          <w:tcPr>
            <w:tcW w:w="7743" w:type="dxa"/>
          </w:tcPr>
          <w:p w:rsidR="00464F76" w:rsidRPr="006B2582" w:rsidRDefault="00464F76" w:rsidP="00464F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B2582">
              <w:rPr>
                <w:rFonts w:ascii="標楷體" w:eastAsia="標楷體" w:hAnsi="標楷體" w:hint="eastAsia"/>
                <w:sz w:val="28"/>
                <w:szCs w:val="28"/>
              </w:rPr>
              <w:t>EMT-2/基本救命術指導員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/緊急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救護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AF574A">
              <w:rPr>
                <w:rFonts w:ascii="標楷體" w:eastAsia="標楷體" w:hAnsi="標楷體" w:hint="eastAsia"/>
                <w:sz w:val="28"/>
                <w:szCs w:val="28"/>
              </w:rPr>
              <w:t>助教班</w:t>
            </w:r>
          </w:p>
          <w:p w:rsidR="00464F76" w:rsidRPr="006B2582" w:rsidRDefault="00464F76" w:rsidP="00464F7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安泰醫療社團法人安泰醫院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到院前救護中心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 w:rsidRPr="00BB2CF1">
              <w:rPr>
                <w:rFonts w:ascii="標楷體" w:eastAsia="標楷體" w:hAnsi="標楷體" w:hint="eastAsia"/>
                <w:sz w:val="28"/>
                <w:szCs w:val="28"/>
              </w:rPr>
              <w:t>護教育訓練推廣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</w:tbl>
    <w:p w:rsidR="002303B3" w:rsidRDefault="002303B3" w:rsidP="002303B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4D619D" w:rsidRDefault="004D619D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831093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附件三、報名表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340"/>
        <w:gridCol w:w="1985"/>
        <w:gridCol w:w="4353"/>
      </w:tblGrid>
      <w:tr w:rsidR="00831093" w:rsidTr="00831093">
        <w:trPr>
          <w:trHeight w:val="778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093" w:rsidTr="00831093">
        <w:trPr>
          <w:trHeight w:val="778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093" w:rsidTr="00831093">
        <w:trPr>
          <w:trHeight w:val="778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93" w:rsidRDefault="00831093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</w:tr>
    </w:tbl>
    <w:p w:rsidR="00831093" w:rsidRDefault="00831093" w:rsidP="00831093">
      <w:pPr>
        <w:widowControl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*本活動遇自然災害，屏東縣政府宣布不上班，活動自然取消，不另公告。</w:t>
      </w:r>
    </w:p>
    <w:p w:rsidR="00831093" w:rsidRP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p w:rsidR="00831093" w:rsidRDefault="00831093" w:rsidP="00260192">
      <w:pPr>
        <w:tabs>
          <w:tab w:val="left" w:pos="3900"/>
        </w:tabs>
        <w:snapToGrid w:val="0"/>
        <w:spacing w:afterLines="100" w:after="360" w:line="520" w:lineRule="exact"/>
        <w:rPr>
          <w:rFonts w:ascii="標楷體" w:eastAsia="標楷體" w:hAnsi="標楷體"/>
          <w:sz w:val="32"/>
          <w:szCs w:val="32"/>
        </w:rPr>
      </w:pPr>
    </w:p>
    <w:sectPr w:rsidR="00831093" w:rsidSect="007844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B" w:rsidRDefault="00640B4B" w:rsidP="00151788">
      <w:r>
        <w:separator/>
      </w:r>
    </w:p>
  </w:endnote>
  <w:endnote w:type="continuationSeparator" w:id="0">
    <w:p w:rsidR="00640B4B" w:rsidRDefault="00640B4B" w:rsidP="0015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B" w:rsidRDefault="00640B4B" w:rsidP="00151788">
      <w:r>
        <w:separator/>
      </w:r>
    </w:p>
  </w:footnote>
  <w:footnote w:type="continuationSeparator" w:id="0">
    <w:p w:rsidR="00640B4B" w:rsidRDefault="00640B4B" w:rsidP="0015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2B6"/>
    <w:multiLevelType w:val="hybridMultilevel"/>
    <w:tmpl w:val="91166E88"/>
    <w:lvl w:ilvl="0" w:tplc="F76C8C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A3698"/>
    <w:multiLevelType w:val="hybridMultilevel"/>
    <w:tmpl w:val="5B424470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9867FC"/>
    <w:multiLevelType w:val="hybridMultilevel"/>
    <w:tmpl w:val="09788350"/>
    <w:lvl w:ilvl="0" w:tplc="6E4496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7B313B"/>
    <w:multiLevelType w:val="hybridMultilevel"/>
    <w:tmpl w:val="F3047A1C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C16339"/>
    <w:multiLevelType w:val="hybridMultilevel"/>
    <w:tmpl w:val="CDE67B36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587C03"/>
    <w:multiLevelType w:val="hybridMultilevel"/>
    <w:tmpl w:val="B8D4522E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B26648"/>
    <w:multiLevelType w:val="hybridMultilevel"/>
    <w:tmpl w:val="681C6F5A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B65083"/>
    <w:multiLevelType w:val="hybridMultilevel"/>
    <w:tmpl w:val="94E233E8"/>
    <w:lvl w:ilvl="0" w:tplc="BC826C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8834B0"/>
    <w:multiLevelType w:val="hybridMultilevel"/>
    <w:tmpl w:val="E2BCC224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DC7E84"/>
    <w:multiLevelType w:val="hybridMultilevel"/>
    <w:tmpl w:val="B7BAEE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06379C"/>
    <w:multiLevelType w:val="hybridMultilevel"/>
    <w:tmpl w:val="1960E682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C12C95"/>
    <w:multiLevelType w:val="hybridMultilevel"/>
    <w:tmpl w:val="35D80D1C"/>
    <w:lvl w:ilvl="0" w:tplc="F76C8C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6406E0"/>
    <w:multiLevelType w:val="hybridMultilevel"/>
    <w:tmpl w:val="FCF04282"/>
    <w:lvl w:ilvl="0" w:tplc="A19080F8">
      <w:start w:val="1"/>
      <w:numFmt w:val="bullet"/>
      <w:pStyle w:val="-2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68340720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CCEABB2E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1E735C6"/>
    <w:multiLevelType w:val="hybridMultilevel"/>
    <w:tmpl w:val="B7805942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9D0497"/>
    <w:multiLevelType w:val="hybridMultilevel"/>
    <w:tmpl w:val="A454D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E3BFD"/>
    <w:multiLevelType w:val="hybridMultilevel"/>
    <w:tmpl w:val="3F4A5D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F967D9"/>
    <w:multiLevelType w:val="hybridMultilevel"/>
    <w:tmpl w:val="87289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D8284A"/>
    <w:multiLevelType w:val="hybridMultilevel"/>
    <w:tmpl w:val="8FCC13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9C7D39"/>
    <w:multiLevelType w:val="hybridMultilevel"/>
    <w:tmpl w:val="A3B04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A96596"/>
    <w:multiLevelType w:val="hybridMultilevel"/>
    <w:tmpl w:val="DFD6A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74A05"/>
    <w:multiLevelType w:val="hybridMultilevel"/>
    <w:tmpl w:val="C4B4A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E63F1D"/>
    <w:multiLevelType w:val="hybridMultilevel"/>
    <w:tmpl w:val="1C2AF35A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8E5EC1"/>
    <w:multiLevelType w:val="hybridMultilevel"/>
    <w:tmpl w:val="BF2C81F4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6F5875"/>
    <w:multiLevelType w:val="hybridMultilevel"/>
    <w:tmpl w:val="912E3B54"/>
    <w:lvl w:ilvl="0" w:tplc="1B2CB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2B2312"/>
    <w:multiLevelType w:val="hybridMultilevel"/>
    <w:tmpl w:val="F76A53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223D25"/>
    <w:multiLevelType w:val="hybridMultilevel"/>
    <w:tmpl w:val="E4509070"/>
    <w:lvl w:ilvl="0" w:tplc="F76C8C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895CD2"/>
    <w:multiLevelType w:val="multilevel"/>
    <w:tmpl w:val="575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61867"/>
    <w:multiLevelType w:val="hybridMultilevel"/>
    <w:tmpl w:val="ADB819A2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F5015B"/>
    <w:multiLevelType w:val="hybridMultilevel"/>
    <w:tmpl w:val="81E827F2"/>
    <w:lvl w:ilvl="0" w:tplc="341A0FA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4B7B8A"/>
    <w:multiLevelType w:val="hybridMultilevel"/>
    <w:tmpl w:val="83A61A46"/>
    <w:lvl w:ilvl="0" w:tplc="ED242846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6EFB70F6"/>
    <w:multiLevelType w:val="hybridMultilevel"/>
    <w:tmpl w:val="D58E68D6"/>
    <w:lvl w:ilvl="0" w:tplc="56D6E0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18A1A4C"/>
    <w:multiLevelType w:val="hybridMultilevel"/>
    <w:tmpl w:val="912E3B54"/>
    <w:lvl w:ilvl="0" w:tplc="1B2CB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0F4580"/>
    <w:multiLevelType w:val="hybridMultilevel"/>
    <w:tmpl w:val="E0F6EDE6"/>
    <w:lvl w:ilvl="0" w:tplc="6206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256498"/>
    <w:multiLevelType w:val="hybridMultilevel"/>
    <w:tmpl w:val="DC565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21"/>
  </w:num>
  <w:num w:numId="7">
    <w:abstractNumId w:val="0"/>
  </w:num>
  <w:num w:numId="8">
    <w:abstractNumId w:val="11"/>
  </w:num>
  <w:num w:numId="9">
    <w:abstractNumId w:val="25"/>
  </w:num>
  <w:num w:numId="10">
    <w:abstractNumId w:val="8"/>
  </w:num>
  <w:num w:numId="11">
    <w:abstractNumId w:val="30"/>
  </w:num>
  <w:num w:numId="12">
    <w:abstractNumId w:val="6"/>
  </w:num>
  <w:num w:numId="13">
    <w:abstractNumId w:val="1"/>
  </w:num>
  <w:num w:numId="14">
    <w:abstractNumId w:val="32"/>
  </w:num>
  <w:num w:numId="15">
    <w:abstractNumId w:val="22"/>
  </w:num>
  <w:num w:numId="16">
    <w:abstractNumId w:val="5"/>
  </w:num>
  <w:num w:numId="17">
    <w:abstractNumId w:val="27"/>
  </w:num>
  <w:num w:numId="18">
    <w:abstractNumId w:val="28"/>
  </w:num>
  <w:num w:numId="19">
    <w:abstractNumId w:val="24"/>
  </w:num>
  <w:num w:numId="20">
    <w:abstractNumId w:val="2"/>
  </w:num>
  <w:num w:numId="21">
    <w:abstractNumId w:val="15"/>
  </w:num>
  <w:num w:numId="22">
    <w:abstractNumId w:val="12"/>
  </w:num>
  <w:num w:numId="23">
    <w:abstractNumId w:val="9"/>
  </w:num>
  <w:num w:numId="24">
    <w:abstractNumId w:val="20"/>
  </w:num>
  <w:num w:numId="25">
    <w:abstractNumId w:val="26"/>
  </w:num>
  <w:num w:numId="26">
    <w:abstractNumId w:val="19"/>
  </w:num>
  <w:num w:numId="27">
    <w:abstractNumId w:val="23"/>
  </w:num>
  <w:num w:numId="28">
    <w:abstractNumId w:val="31"/>
  </w:num>
  <w:num w:numId="29">
    <w:abstractNumId w:val="17"/>
  </w:num>
  <w:num w:numId="30">
    <w:abstractNumId w:val="29"/>
  </w:num>
  <w:num w:numId="31">
    <w:abstractNumId w:val="18"/>
  </w:num>
  <w:num w:numId="32">
    <w:abstractNumId w:val="33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E0"/>
    <w:rsid w:val="00003B6D"/>
    <w:rsid w:val="000149CD"/>
    <w:rsid w:val="00023119"/>
    <w:rsid w:val="0002469F"/>
    <w:rsid w:val="00050A13"/>
    <w:rsid w:val="00052D56"/>
    <w:rsid w:val="000538F7"/>
    <w:rsid w:val="00054061"/>
    <w:rsid w:val="0008484C"/>
    <w:rsid w:val="000A03E4"/>
    <w:rsid w:val="000B3AA3"/>
    <w:rsid w:val="000C3D64"/>
    <w:rsid w:val="00117880"/>
    <w:rsid w:val="00126DCA"/>
    <w:rsid w:val="00136D2D"/>
    <w:rsid w:val="001434A8"/>
    <w:rsid w:val="001447FD"/>
    <w:rsid w:val="00151788"/>
    <w:rsid w:val="00157900"/>
    <w:rsid w:val="00161D12"/>
    <w:rsid w:val="00170822"/>
    <w:rsid w:val="001922BC"/>
    <w:rsid w:val="001A4471"/>
    <w:rsid w:val="001B34E2"/>
    <w:rsid w:val="001C588E"/>
    <w:rsid w:val="001D13C5"/>
    <w:rsid w:val="001D2E7B"/>
    <w:rsid w:val="001D6B7D"/>
    <w:rsid w:val="002303B3"/>
    <w:rsid w:val="002412CA"/>
    <w:rsid w:val="00244391"/>
    <w:rsid w:val="00255274"/>
    <w:rsid w:val="00260192"/>
    <w:rsid w:val="00261423"/>
    <w:rsid w:val="0026774D"/>
    <w:rsid w:val="002701B7"/>
    <w:rsid w:val="00285FD1"/>
    <w:rsid w:val="00290B76"/>
    <w:rsid w:val="002A633B"/>
    <w:rsid w:val="002C0CAA"/>
    <w:rsid w:val="002E4F10"/>
    <w:rsid w:val="002E50DC"/>
    <w:rsid w:val="0030273B"/>
    <w:rsid w:val="003038D2"/>
    <w:rsid w:val="00311F57"/>
    <w:rsid w:val="00312A94"/>
    <w:rsid w:val="00313FE3"/>
    <w:rsid w:val="00314A0F"/>
    <w:rsid w:val="00335050"/>
    <w:rsid w:val="00344DD3"/>
    <w:rsid w:val="003547C1"/>
    <w:rsid w:val="00397908"/>
    <w:rsid w:val="003B4F64"/>
    <w:rsid w:val="003C4328"/>
    <w:rsid w:val="003C7898"/>
    <w:rsid w:val="003F2388"/>
    <w:rsid w:val="003F5262"/>
    <w:rsid w:val="00464DB3"/>
    <w:rsid w:val="00464F76"/>
    <w:rsid w:val="004719C6"/>
    <w:rsid w:val="0048763E"/>
    <w:rsid w:val="0049407B"/>
    <w:rsid w:val="004A0BC0"/>
    <w:rsid w:val="004B35FF"/>
    <w:rsid w:val="004B5E00"/>
    <w:rsid w:val="004D619D"/>
    <w:rsid w:val="004E492F"/>
    <w:rsid w:val="004F6673"/>
    <w:rsid w:val="00511C8A"/>
    <w:rsid w:val="005215A4"/>
    <w:rsid w:val="00547D55"/>
    <w:rsid w:val="0058270B"/>
    <w:rsid w:val="005B5FFF"/>
    <w:rsid w:val="005B7C2F"/>
    <w:rsid w:val="005E600D"/>
    <w:rsid w:val="005E6819"/>
    <w:rsid w:val="006051ED"/>
    <w:rsid w:val="00614873"/>
    <w:rsid w:val="006317ED"/>
    <w:rsid w:val="00640B4B"/>
    <w:rsid w:val="00651CE2"/>
    <w:rsid w:val="006618FA"/>
    <w:rsid w:val="0066649D"/>
    <w:rsid w:val="00682437"/>
    <w:rsid w:val="006B30DE"/>
    <w:rsid w:val="006B3722"/>
    <w:rsid w:val="006D192A"/>
    <w:rsid w:val="006E0EEC"/>
    <w:rsid w:val="006E2E0D"/>
    <w:rsid w:val="00705455"/>
    <w:rsid w:val="00706552"/>
    <w:rsid w:val="0071239C"/>
    <w:rsid w:val="00715D06"/>
    <w:rsid w:val="007161CB"/>
    <w:rsid w:val="00720ECA"/>
    <w:rsid w:val="00722113"/>
    <w:rsid w:val="007278C5"/>
    <w:rsid w:val="007344AD"/>
    <w:rsid w:val="00742571"/>
    <w:rsid w:val="00761635"/>
    <w:rsid w:val="0076664D"/>
    <w:rsid w:val="00771B7C"/>
    <w:rsid w:val="00783893"/>
    <w:rsid w:val="007844E0"/>
    <w:rsid w:val="0078651F"/>
    <w:rsid w:val="00792EB9"/>
    <w:rsid w:val="00797D6F"/>
    <w:rsid w:val="007A05C1"/>
    <w:rsid w:val="007A4162"/>
    <w:rsid w:val="007A5C1E"/>
    <w:rsid w:val="007B35F3"/>
    <w:rsid w:val="007B4A75"/>
    <w:rsid w:val="007C16CE"/>
    <w:rsid w:val="007C185C"/>
    <w:rsid w:val="007C5010"/>
    <w:rsid w:val="007E4CB5"/>
    <w:rsid w:val="0080202F"/>
    <w:rsid w:val="00830D47"/>
    <w:rsid w:val="00831093"/>
    <w:rsid w:val="00843884"/>
    <w:rsid w:val="008500CA"/>
    <w:rsid w:val="00860F6F"/>
    <w:rsid w:val="00880FDD"/>
    <w:rsid w:val="00881944"/>
    <w:rsid w:val="008B06CE"/>
    <w:rsid w:val="008B089A"/>
    <w:rsid w:val="008B141E"/>
    <w:rsid w:val="008B1CF1"/>
    <w:rsid w:val="008B6276"/>
    <w:rsid w:val="008C0B4E"/>
    <w:rsid w:val="008C49B3"/>
    <w:rsid w:val="008E01F7"/>
    <w:rsid w:val="00903C35"/>
    <w:rsid w:val="00925540"/>
    <w:rsid w:val="00944EFC"/>
    <w:rsid w:val="00974FEE"/>
    <w:rsid w:val="00991284"/>
    <w:rsid w:val="009A5D89"/>
    <w:rsid w:val="009C2787"/>
    <w:rsid w:val="009D3FB1"/>
    <w:rsid w:val="009D5C88"/>
    <w:rsid w:val="009E4D48"/>
    <w:rsid w:val="00A06057"/>
    <w:rsid w:val="00A17D1F"/>
    <w:rsid w:val="00A203EA"/>
    <w:rsid w:val="00A23C89"/>
    <w:rsid w:val="00A26A1F"/>
    <w:rsid w:val="00A26C5D"/>
    <w:rsid w:val="00A32987"/>
    <w:rsid w:val="00A44E8A"/>
    <w:rsid w:val="00A543CF"/>
    <w:rsid w:val="00A67618"/>
    <w:rsid w:val="00A806D2"/>
    <w:rsid w:val="00A8193D"/>
    <w:rsid w:val="00A87411"/>
    <w:rsid w:val="00A911C6"/>
    <w:rsid w:val="00A92FAF"/>
    <w:rsid w:val="00AB1E80"/>
    <w:rsid w:val="00AB56DD"/>
    <w:rsid w:val="00AC1405"/>
    <w:rsid w:val="00AC2560"/>
    <w:rsid w:val="00AC5321"/>
    <w:rsid w:val="00AE5E49"/>
    <w:rsid w:val="00B11280"/>
    <w:rsid w:val="00B1698F"/>
    <w:rsid w:val="00B35FB1"/>
    <w:rsid w:val="00B36BB5"/>
    <w:rsid w:val="00B55EE5"/>
    <w:rsid w:val="00B64074"/>
    <w:rsid w:val="00B64D44"/>
    <w:rsid w:val="00B84C7F"/>
    <w:rsid w:val="00B8542E"/>
    <w:rsid w:val="00BB23EA"/>
    <w:rsid w:val="00BE0288"/>
    <w:rsid w:val="00BE2087"/>
    <w:rsid w:val="00BE69A7"/>
    <w:rsid w:val="00BE6B15"/>
    <w:rsid w:val="00C31B2C"/>
    <w:rsid w:val="00C403D8"/>
    <w:rsid w:val="00C53793"/>
    <w:rsid w:val="00C57561"/>
    <w:rsid w:val="00C57DF7"/>
    <w:rsid w:val="00C7154C"/>
    <w:rsid w:val="00CA318C"/>
    <w:rsid w:val="00CB3148"/>
    <w:rsid w:val="00CC2D9B"/>
    <w:rsid w:val="00CE0C3F"/>
    <w:rsid w:val="00CE2358"/>
    <w:rsid w:val="00CE717D"/>
    <w:rsid w:val="00CF20D6"/>
    <w:rsid w:val="00D0168A"/>
    <w:rsid w:val="00D05AC9"/>
    <w:rsid w:val="00D224AC"/>
    <w:rsid w:val="00D24ACD"/>
    <w:rsid w:val="00D32D38"/>
    <w:rsid w:val="00D4323F"/>
    <w:rsid w:val="00D62A07"/>
    <w:rsid w:val="00D845D5"/>
    <w:rsid w:val="00DA2C04"/>
    <w:rsid w:val="00DC1ADC"/>
    <w:rsid w:val="00DD27E7"/>
    <w:rsid w:val="00DE6575"/>
    <w:rsid w:val="00DF323F"/>
    <w:rsid w:val="00DF675B"/>
    <w:rsid w:val="00E13BA9"/>
    <w:rsid w:val="00E157B8"/>
    <w:rsid w:val="00E24DFD"/>
    <w:rsid w:val="00E51999"/>
    <w:rsid w:val="00E72994"/>
    <w:rsid w:val="00E94AEF"/>
    <w:rsid w:val="00EA2D94"/>
    <w:rsid w:val="00EB1097"/>
    <w:rsid w:val="00ED2BD7"/>
    <w:rsid w:val="00EE3E5B"/>
    <w:rsid w:val="00EF7406"/>
    <w:rsid w:val="00F1633C"/>
    <w:rsid w:val="00F309CE"/>
    <w:rsid w:val="00F57596"/>
    <w:rsid w:val="00F62988"/>
    <w:rsid w:val="00F65403"/>
    <w:rsid w:val="00F70EDC"/>
    <w:rsid w:val="00F87D1A"/>
    <w:rsid w:val="00FC0808"/>
    <w:rsid w:val="00FC6FCE"/>
    <w:rsid w:val="00FE3F03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94D6F-5882-48F2-91EB-476679FB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E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44E0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844E0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285F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543CF"/>
    <w:rPr>
      <w:color w:val="0000FF"/>
      <w:u w:val="single"/>
    </w:rPr>
  </w:style>
  <w:style w:type="paragraph" w:customStyle="1" w:styleId="-2">
    <w:name w:val="圖表說明-2欄"/>
    <w:basedOn w:val="a"/>
    <w:next w:val="a"/>
    <w:rsid w:val="00E157B8"/>
    <w:pPr>
      <w:widowControl/>
      <w:numPr>
        <w:numId w:val="22"/>
      </w:numPr>
      <w:tabs>
        <w:tab w:val="clear" w:pos="340"/>
        <w:tab w:val="center" w:pos="2280"/>
        <w:tab w:val="center" w:pos="7200"/>
      </w:tabs>
      <w:spacing w:line="480" w:lineRule="exact"/>
      <w:ind w:left="0" w:firstLine="0"/>
      <w:jc w:val="both"/>
    </w:pPr>
    <w:rPr>
      <w:rFonts w:ascii="Times New Roman" w:eastAsia="標楷體" w:hAnsi="Times New Roman"/>
      <w:color w:val="000000"/>
      <w:sz w:val="32"/>
      <w:szCs w:val="24"/>
    </w:rPr>
  </w:style>
  <w:style w:type="paragraph" w:styleId="a7">
    <w:name w:val="header"/>
    <w:basedOn w:val="a"/>
    <w:link w:val="a8"/>
    <w:rsid w:val="0015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51788"/>
    <w:rPr>
      <w:rFonts w:ascii="Calibri" w:hAnsi="Calibri"/>
      <w:kern w:val="2"/>
    </w:rPr>
  </w:style>
  <w:style w:type="paragraph" w:styleId="a9">
    <w:name w:val="footer"/>
    <w:basedOn w:val="a"/>
    <w:link w:val="aa"/>
    <w:rsid w:val="0015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51788"/>
    <w:rPr>
      <w:rFonts w:ascii="Calibri" w:hAnsi="Calibri"/>
      <w:kern w:val="2"/>
    </w:rPr>
  </w:style>
  <w:style w:type="character" w:customStyle="1" w:styleId="apple-converted-space">
    <w:name w:val="apple-converted-space"/>
    <w:rsid w:val="00860F6F"/>
  </w:style>
  <w:style w:type="paragraph" w:styleId="ab">
    <w:name w:val="Balloon Text"/>
    <w:basedOn w:val="a"/>
    <w:link w:val="ac"/>
    <w:rsid w:val="00A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B5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8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9894">
          <w:marLeft w:val="0"/>
          <w:marRight w:val="0"/>
          <w:marTop w:val="0"/>
          <w:marBottom w:val="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777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95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an02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817</Words>
  <Characters>4659</Characters>
  <Application>Microsoft Office Word</Application>
  <DocSecurity>0</DocSecurity>
  <Lines>38</Lines>
  <Paragraphs>10</Paragraphs>
  <ScaleCrop>false</ScaleCrop>
  <Company>CMT</Company>
  <LinksUpToDate>false</LinksUpToDate>
  <CharactersWithSpaces>5466</CharactersWithSpaces>
  <SharedDoc>false</SharedDoc>
  <HLinks>
    <vt:vector size="6" baseType="variant">
      <vt:variant>
        <vt:i4>8257629</vt:i4>
      </vt:variant>
      <vt:variant>
        <vt:i4>0</vt:i4>
      </vt:variant>
      <vt:variant>
        <vt:i4>0</vt:i4>
      </vt:variant>
      <vt:variant>
        <vt:i4>5</vt:i4>
      </vt:variant>
      <vt:variant>
        <vt:lpwstr>mailto:a104141@mail.tsmh.org.tw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國立屏東科技大學休閒運動健康系</dc:title>
  <dc:creator>AMD POWER</dc:creator>
  <cp:lastModifiedBy>Windows 使用者</cp:lastModifiedBy>
  <cp:revision>2</cp:revision>
  <dcterms:created xsi:type="dcterms:W3CDTF">2020-10-15T08:19:00Z</dcterms:created>
  <dcterms:modified xsi:type="dcterms:W3CDTF">2020-10-15T08:19:00Z</dcterms:modified>
</cp:coreProperties>
</file>